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27375"/>
      <w:bookmarkStart w:id="1" w:name="_Toc28373"/>
      <w:bookmarkStart w:id="2" w:name="_Toc1953"/>
      <w:bookmarkStart w:id="3" w:name="_Toc8707"/>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安宁市第一人民医院（连然院区）法医鉴定室出租项目</w:t>
      </w:r>
      <w:bookmarkEnd w:id="0"/>
      <w:bookmarkEnd w:id="1"/>
      <w:bookmarkEnd w:id="2"/>
      <w:bookmarkEnd w:id="3"/>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20741"/>
      <w:bookmarkStart w:id="5" w:name="_Toc17988"/>
      <w:bookmarkStart w:id="6" w:name="_Toc5508"/>
      <w:bookmarkStart w:id="7" w:name="_Toc11021"/>
      <w:bookmarkStart w:id="8" w:name="_Toc22156"/>
      <w:bookmarkStart w:id="9" w:name="_Toc9230"/>
      <w:bookmarkStart w:id="10" w:name="_Toc22227"/>
      <w:bookmarkStart w:id="11" w:name="_Toc7016"/>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2025N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11</w:t>
      </w:r>
      <w:bookmarkEnd w:id="11"/>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6444"/>
      <w:bookmarkStart w:id="13" w:name="_Toc30971"/>
      <w:bookmarkStart w:id="14" w:name="_Toc17121"/>
      <w:bookmarkStart w:id="15" w:name="_Toc7654"/>
      <w:bookmarkStart w:id="16" w:name="_Toc1134"/>
      <w:bookmarkStart w:id="17" w:name="_Toc23534"/>
      <w:bookmarkStart w:id="18" w:name="_Toc3978"/>
      <w:bookmarkStart w:id="19" w:name="_Toc119"/>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0" w:name="_Toc184"/>
      <w:bookmarkEnd w:id="20"/>
      <w:bookmarkStart w:id="21" w:name="_Toc14917"/>
      <w:bookmarkEnd w:id="21"/>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bookmarkStart w:id="58" w:name="_GoBack"/>
          <w:bookmarkEnd w:id="58"/>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4467D1E9">
          <w:pPr>
            <w:pStyle w:val="17"/>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_Toc8707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安宁市第一人民医院（连然院区）法医鉴定室出租项目</w:t>
          </w:r>
          <w:r>
            <w:tab/>
          </w:r>
          <w:r>
            <w:fldChar w:fldCharType="begin"/>
          </w:r>
          <w:r>
            <w:instrText xml:space="preserve"> PAGEREF _Toc8707 \h </w:instrText>
          </w:r>
          <w:r>
            <w:fldChar w:fldCharType="separate"/>
          </w:r>
          <w:r>
            <w:t>1</w:t>
          </w:r>
          <w:r>
            <w:fldChar w:fldCharType="end"/>
          </w:r>
          <w:r>
            <w:rPr>
              <w:rFonts w:hint="eastAsia" w:ascii="华文楷体" w:hAnsi="华文楷体" w:eastAsia="华文楷体" w:cs="华文楷体"/>
              <w:szCs w:val="28"/>
            </w:rPr>
            <w:fldChar w:fldCharType="end"/>
          </w:r>
        </w:p>
        <w:p w14:paraId="0B2D0D8B">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_Toc7016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2025N11</w:t>
          </w:r>
          <w:r>
            <w:tab/>
          </w:r>
          <w:r>
            <w:fldChar w:fldCharType="begin"/>
          </w:r>
          <w:r>
            <w:instrText xml:space="preserve"> PAGEREF _Toc7016 \h </w:instrText>
          </w:r>
          <w:r>
            <w:fldChar w:fldCharType="separate"/>
          </w:r>
          <w:r>
            <w:t>1</w:t>
          </w:r>
          <w:r>
            <w:fldChar w:fldCharType="end"/>
          </w:r>
          <w:r>
            <w:rPr>
              <w:rFonts w:hint="eastAsia" w:ascii="华文楷体" w:hAnsi="华文楷体" w:eastAsia="华文楷体" w:cs="华文楷体"/>
              <w:szCs w:val="28"/>
            </w:rPr>
            <w:fldChar w:fldCharType="end"/>
          </w:r>
        </w:p>
        <w:p w14:paraId="1BB0C735">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_Toc119 \h </w:instrText>
          </w:r>
          <w:r>
            <w:fldChar w:fldCharType="separate"/>
          </w:r>
          <w:r>
            <w:t>1</w:t>
          </w:r>
          <w:r>
            <w:fldChar w:fldCharType="end"/>
          </w:r>
          <w:r>
            <w:rPr>
              <w:rFonts w:hint="eastAsia" w:ascii="华文楷体" w:hAnsi="华文楷体" w:eastAsia="华文楷体" w:cs="华文楷体"/>
              <w:szCs w:val="28"/>
            </w:rPr>
            <w:fldChar w:fldCharType="end"/>
          </w:r>
        </w:p>
        <w:p w14:paraId="0DA9791F">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_Toc26564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_Toc26564 \h </w:instrText>
          </w:r>
          <w:r>
            <w:fldChar w:fldCharType="separate"/>
          </w:r>
          <w:r>
            <w:t>3</w:t>
          </w:r>
          <w:r>
            <w:fldChar w:fldCharType="end"/>
          </w:r>
          <w:r>
            <w:rPr>
              <w:rFonts w:hint="eastAsia" w:ascii="华文楷体" w:hAnsi="华文楷体" w:eastAsia="华文楷体" w:cs="华文楷体"/>
              <w:szCs w:val="28"/>
            </w:rPr>
            <w:fldChar w:fldCharType="end"/>
          </w:r>
        </w:p>
        <w:p w14:paraId="24AC5D91">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_Toc4063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_Toc4063 \h </w:instrText>
          </w:r>
          <w:r>
            <w:fldChar w:fldCharType="separate"/>
          </w:r>
          <w:r>
            <w:t>4</w:t>
          </w:r>
          <w:r>
            <w:fldChar w:fldCharType="end"/>
          </w:r>
          <w:r>
            <w:rPr>
              <w:rFonts w:hint="eastAsia" w:ascii="华文楷体" w:hAnsi="华文楷体" w:eastAsia="华文楷体" w:cs="华文楷体"/>
              <w:szCs w:val="28"/>
            </w:rPr>
            <w:fldChar w:fldCharType="end"/>
          </w:r>
        </w:p>
        <w:p w14:paraId="3B1731D4">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_Toc22837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三、响应人信息表</w:t>
          </w:r>
          <w:r>
            <w:tab/>
          </w:r>
          <w:r>
            <w:fldChar w:fldCharType="begin"/>
          </w:r>
          <w:r>
            <w:instrText xml:space="preserve"> PAGEREF _Toc22837 \h </w:instrText>
          </w:r>
          <w:r>
            <w:fldChar w:fldCharType="separate"/>
          </w:r>
          <w:r>
            <w:t>6</w:t>
          </w:r>
          <w:r>
            <w:fldChar w:fldCharType="end"/>
          </w:r>
          <w:r>
            <w:rPr>
              <w:rFonts w:hint="eastAsia" w:ascii="华文楷体" w:hAnsi="华文楷体" w:eastAsia="华文楷体" w:cs="华文楷体"/>
              <w:szCs w:val="28"/>
            </w:rPr>
            <w:fldChar w:fldCharType="end"/>
          </w:r>
        </w:p>
        <w:p w14:paraId="421D131E">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_Toc25904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四、法定代表人(负责人)身份证明书</w:t>
          </w:r>
          <w:r>
            <w:tab/>
          </w:r>
          <w:r>
            <w:fldChar w:fldCharType="begin"/>
          </w:r>
          <w:r>
            <w:instrText xml:space="preserve"> PAGEREF _Toc25904 \h </w:instrText>
          </w:r>
          <w:r>
            <w:fldChar w:fldCharType="separate"/>
          </w:r>
          <w:r>
            <w:t>7</w:t>
          </w:r>
          <w:r>
            <w:fldChar w:fldCharType="end"/>
          </w:r>
          <w:r>
            <w:rPr>
              <w:rFonts w:hint="eastAsia" w:ascii="华文楷体" w:hAnsi="华文楷体" w:eastAsia="华文楷体" w:cs="华文楷体"/>
              <w:szCs w:val="28"/>
            </w:rPr>
            <w:fldChar w:fldCharType="end"/>
          </w:r>
        </w:p>
        <w:p w14:paraId="4AC0EFCD">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_Toc17018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五、法定代表人（负责人）授权委托书</w:t>
          </w:r>
          <w:r>
            <w:tab/>
          </w:r>
          <w:r>
            <w:fldChar w:fldCharType="begin"/>
          </w:r>
          <w:r>
            <w:instrText xml:space="preserve"> PAGEREF _Toc17018 \h </w:instrText>
          </w:r>
          <w:r>
            <w:fldChar w:fldCharType="separate"/>
          </w:r>
          <w:r>
            <w:t>8</w:t>
          </w:r>
          <w:r>
            <w:fldChar w:fldCharType="end"/>
          </w:r>
          <w:r>
            <w:rPr>
              <w:rFonts w:hint="eastAsia" w:ascii="华文楷体" w:hAnsi="华文楷体" w:eastAsia="华文楷体" w:cs="华文楷体"/>
              <w:szCs w:val="28"/>
            </w:rPr>
            <w:fldChar w:fldCharType="end"/>
          </w:r>
        </w:p>
        <w:p w14:paraId="3AD41CDE">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_Toc15198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六、委托代理人社保缴纳证明</w:t>
          </w:r>
          <w:r>
            <w:tab/>
          </w:r>
          <w:r>
            <w:fldChar w:fldCharType="begin"/>
          </w:r>
          <w:r>
            <w:instrText xml:space="preserve"> PAGEREF _Toc15198 \h </w:instrText>
          </w:r>
          <w:r>
            <w:fldChar w:fldCharType="separate"/>
          </w:r>
          <w:r>
            <w:t>9</w:t>
          </w:r>
          <w:r>
            <w:fldChar w:fldCharType="end"/>
          </w:r>
          <w:r>
            <w:rPr>
              <w:rFonts w:hint="eastAsia" w:ascii="华文楷体" w:hAnsi="华文楷体" w:eastAsia="华文楷体" w:cs="华文楷体"/>
              <w:szCs w:val="28"/>
            </w:rPr>
            <w:fldChar w:fldCharType="end"/>
          </w:r>
        </w:p>
        <w:p w14:paraId="672B2F43">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_Toc8478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七、响应人资质文件</w:t>
          </w:r>
          <w:r>
            <w:tab/>
          </w:r>
          <w:r>
            <w:fldChar w:fldCharType="begin"/>
          </w:r>
          <w:r>
            <w:instrText xml:space="preserve"> PAGEREF _Toc8478 \h </w:instrText>
          </w:r>
          <w:r>
            <w:fldChar w:fldCharType="separate"/>
          </w:r>
          <w:r>
            <w:t>10</w:t>
          </w:r>
          <w:r>
            <w:fldChar w:fldCharType="end"/>
          </w:r>
          <w:r>
            <w:rPr>
              <w:rFonts w:hint="eastAsia" w:ascii="华文楷体" w:hAnsi="华文楷体" w:eastAsia="华文楷体" w:cs="华文楷体"/>
              <w:szCs w:val="28"/>
            </w:rPr>
            <w:fldChar w:fldCharType="end"/>
          </w:r>
        </w:p>
        <w:p w14:paraId="10C7C919">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_Toc13958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十二、响应人认为有必要提供的其他文件</w:t>
          </w:r>
          <w:r>
            <w:tab/>
          </w:r>
          <w:r>
            <w:fldChar w:fldCharType="begin"/>
          </w:r>
          <w:r>
            <w:instrText xml:space="preserve"> PAGEREF _Toc13958 \h </w:instrText>
          </w:r>
          <w:r>
            <w:fldChar w:fldCharType="separate"/>
          </w:r>
          <w:r>
            <w:t>16</w:t>
          </w:r>
          <w:r>
            <w:fldChar w:fldCharType="end"/>
          </w:r>
          <w:r>
            <w:rPr>
              <w:rFonts w:hint="eastAsia" w:ascii="华文楷体" w:hAnsi="华文楷体" w:eastAsia="华文楷体" w:cs="华文楷体"/>
              <w:szCs w:val="28"/>
            </w:rPr>
            <w:fldChar w:fldCharType="end"/>
          </w:r>
        </w:p>
        <w:p w14:paraId="39364F0D">
          <w:pPr>
            <w:pStyle w:val="17"/>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_Toc14981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十三、二次报价承诺书</w:t>
          </w:r>
          <w:r>
            <w:tab/>
          </w:r>
          <w:r>
            <w:fldChar w:fldCharType="begin"/>
          </w:r>
          <w:r>
            <w:instrText xml:space="preserve"> PAGEREF _Toc14981 \h </w:instrText>
          </w:r>
          <w:r>
            <w:fldChar w:fldCharType="separate"/>
          </w:r>
          <w:r>
            <w:t>17</w:t>
          </w:r>
          <w:r>
            <w:fldChar w:fldCharType="end"/>
          </w:r>
          <w:r>
            <w:rPr>
              <w:rFonts w:hint="eastAsia" w:ascii="华文楷体" w:hAnsi="华文楷体" w:eastAsia="华文楷体" w:cs="华文楷体"/>
              <w:szCs w:val="28"/>
            </w:rPr>
            <w:fldChar w:fldCharType="end"/>
          </w:r>
        </w:p>
        <w:p w14:paraId="1CBBF862">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0F7C682E">
      <w:pPr>
        <w:pStyle w:val="3"/>
        <w:pageBreakBefore w:val="0"/>
        <w:numPr>
          <w:ilvl w:val="1"/>
          <w:numId w:val="0"/>
        </w:numPr>
        <w:topLinePunct w:val="0"/>
        <w:bidi w:val="0"/>
        <w:snapToGrid/>
        <w:spacing w:line="240" w:lineRule="auto"/>
        <w:jc w:val="center"/>
        <w:outlineLvl w:val="0"/>
        <w:rPr>
          <w:rFonts w:asciiTheme="majorEastAsia" w:hAnsiTheme="majorEastAsia" w:eastAsiaTheme="majorEastAsia"/>
          <w:sz w:val="32"/>
          <w:szCs w:val="32"/>
        </w:rPr>
      </w:pPr>
      <w:bookmarkStart w:id="22" w:name="_Toc23066"/>
      <w:bookmarkStart w:id="23" w:name="_Toc26564"/>
      <w:bookmarkStart w:id="24" w:name="_Toc18551"/>
      <w:r>
        <w:rPr>
          <w:rFonts w:hint="eastAsia" w:ascii="华文楷体" w:hAnsi="华文楷体" w:eastAsia="华文楷体" w:cs="华文楷体"/>
          <w:color w:val="FF0000"/>
          <w:sz w:val="32"/>
          <w:szCs w:val="32"/>
          <w:lang w:val="en-US" w:eastAsia="zh-CN"/>
        </w:rPr>
        <w:t>一、</w:t>
      </w:r>
      <w:bookmarkStart w:id="25" w:name="_Toc20266"/>
      <w:bookmarkStart w:id="26" w:name="_Toc493600031"/>
      <w:r>
        <w:rPr>
          <w:rFonts w:hint="eastAsia" w:ascii="华文楷体" w:hAnsi="华文楷体" w:eastAsia="华文楷体" w:cs="华文楷体"/>
          <w:color w:val="FF0000"/>
          <w:sz w:val="32"/>
          <w:szCs w:val="32"/>
          <w:lang w:val="en-US" w:eastAsia="zh-CN"/>
        </w:rPr>
        <w:t>开标一览表</w:t>
      </w:r>
      <w:bookmarkEnd w:id="22"/>
      <w:bookmarkEnd w:id="23"/>
      <w:bookmarkEnd w:id="25"/>
    </w:p>
    <w:p w14:paraId="76638F49">
      <w:pPr>
        <w:keepNext w:val="0"/>
        <w:keepLines w:val="0"/>
        <w:pageBreakBefore w:val="0"/>
        <w:widowControl w:val="0"/>
        <w:kinsoku/>
        <w:wordWrap/>
        <w:overflowPunct/>
        <w:topLinePunct w:val="0"/>
        <w:autoSpaceDE/>
        <w:autoSpaceDN/>
        <w:bidi w:val="0"/>
        <w:adjustRightInd/>
        <w:snapToGrid/>
        <w:spacing w:afterAutospacing="0" w:line="560" w:lineRule="exact"/>
        <w:textAlignment w:val="auto"/>
        <w:rPr>
          <w:rFonts w:hint="eastAsia" w:ascii="华文楷体" w:hAnsi="华文楷体" w:eastAsia="华文楷体" w:cs="华文楷体"/>
          <w:b w:val="0"/>
          <w:bCs/>
          <w:sz w:val="28"/>
          <w:szCs w:val="28"/>
          <w:u w:val="single"/>
        </w:rPr>
      </w:pPr>
      <w:r>
        <w:rPr>
          <w:rFonts w:hint="eastAsia" w:ascii="华文楷体" w:hAnsi="华文楷体" w:eastAsia="华文楷体" w:cs="华文楷体"/>
          <w:b/>
          <w:bCs w:val="0"/>
          <w:sz w:val="28"/>
          <w:szCs w:val="28"/>
        </w:rPr>
        <w:t>项目名称：</w:t>
      </w:r>
      <w:r>
        <w:rPr>
          <w:rFonts w:hint="eastAsia" w:ascii="华文楷体" w:hAnsi="华文楷体" w:eastAsia="华文楷体" w:cs="华文楷体"/>
          <w:b w:val="0"/>
          <w:bCs/>
          <w:sz w:val="28"/>
          <w:szCs w:val="28"/>
          <w:u w:val="single"/>
        </w:rPr>
        <w:t>安宁市第一人民医院（连然院区）法医鉴定室出租项目</w:t>
      </w:r>
    </w:p>
    <w:p w14:paraId="7FD216D2">
      <w:pPr>
        <w:keepNext w:val="0"/>
        <w:keepLines w:val="0"/>
        <w:pageBreakBefore w:val="0"/>
        <w:widowControl w:val="0"/>
        <w:kinsoku/>
        <w:wordWrap/>
        <w:overflowPunct/>
        <w:topLinePunct w:val="0"/>
        <w:autoSpaceDE/>
        <w:autoSpaceDN/>
        <w:bidi w:val="0"/>
        <w:adjustRightInd/>
        <w:snapToGrid/>
        <w:spacing w:afterAutospacing="0" w:line="560" w:lineRule="exact"/>
        <w:textAlignment w:val="auto"/>
        <w:rPr>
          <w:rFonts w:hint="default" w:ascii="华文楷体" w:hAnsi="华文楷体" w:eastAsia="华文楷体" w:cs="华文楷体"/>
          <w:b w:val="0"/>
          <w:bCs/>
          <w:color w:val="auto"/>
          <w:sz w:val="28"/>
          <w:szCs w:val="28"/>
          <w:highlight w:val="none"/>
          <w:u w:val="single"/>
          <w:lang w:val="en-US" w:eastAsia="zh-CN"/>
        </w:rPr>
      </w:pPr>
      <w:r>
        <w:rPr>
          <w:rFonts w:hint="eastAsia" w:ascii="华文楷体" w:hAnsi="华文楷体" w:eastAsia="华文楷体" w:cs="华文楷体"/>
          <w:b/>
          <w:bCs w:val="0"/>
          <w:sz w:val="28"/>
          <w:szCs w:val="28"/>
          <w:lang w:eastAsia="zh-CN"/>
        </w:rPr>
        <w:t>项目编号</w:t>
      </w:r>
      <w:r>
        <w:rPr>
          <w:rFonts w:hint="eastAsia" w:ascii="华文楷体" w:hAnsi="华文楷体" w:eastAsia="华文楷体" w:cs="华文楷体"/>
          <w:b/>
          <w:bCs w:val="0"/>
          <w:sz w:val="28"/>
          <w:szCs w:val="28"/>
        </w:rPr>
        <w:t>：</w:t>
      </w:r>
      <w:r>
        <w:rPr>
          <w:rFonts w:hint="eastAsia" w:ascii="华文楷体" w:hAnsi="华文楷体" w:eastAsia="华文楷体" w:cs="华文楷体"/>
          <w:b w:val="0"/>
          <w:bCs/>
          <w:color w:val="auto"/>
          <w:sz w:val="28"/>
          <w:szCs w:val="28"/>
          <w:highlight w:val="none"/>
          <w:u w:val="single"/>
          <w:lang w:val="en-US" w:eastAsia="zh-CN"/>
        </w:rPr>
        <w:t>ANYGT-YNTP-2025N11</w:t>
      </w:r>
    </w:p>
    <w:p w14:paraId="00EB4BD4">
      <w:pPr>
        <w:pStyle w:val="6"/>
        <w:rPr>
          <w:rFonts w:hint="eastAsia" w:ascii="华文楷体" w:hAnsi="华文楷体" w:eastAsia="华文楷体" w:cs="华文楷体"/>
          <w:b w:val="0"/>
          <w:bCs/>
        </w:rPr>
      </w:pPr>
    </w:p>
    <w:tbl>
      <w:tblPr>
        <w:tblStyle w:val="21"/>
        <w:tblW w:w="8424"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59"/>
        <w:gridCol w:w="2551"/>
        <w:gridCol w:w="4914"/>
      </w:tblGrid>
      <w:tr w14:paraId="343333B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737" w:hRule="atLeast"/>
        </w:trPr>
        <w:tc>
          <w:tcPr>
            <w:tcW w:w="959" w:type="dxa"/>
            <w:tcBorders>
              <w:top w:val="single" w:color="auto" w:sz="2" w:space="0"/>
            </w:tcBorders>
            <w:vAlign w:val="center"/>
          </w:tcPr>
          <w:p w14:paraId="11A6CA8D">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1</w:t>
            </w:r>
          </w:p>
        </w:tc>
        <w:tc>
          <w:tcPr>
            <w:tcW w:w="2551" w:type="dxa"/>
            <w:tcBorders>
              <w:top w:val="single" w:color="auto" w:sz="2" w:space="0"/>
            </w:tcBorders>
            <w:vAlign w:val="center"/>
          </w:tcPr>
          <w:p w14:paraId="10F62969">
            <w:pPr>
              <w:keepNext w:val="0"/>
              <w:keepLines w:val="0"/>
              <w:suppressLineNumbers w:val="0"/>
              <w:spacing w:before="0" w:beforeAutospacing="0" w:after="100" w:afterAutospacing="1"/>
              <w:ind w:left="0" w:right="0"/>
              <w:rPr>
                <w:rFonts w:hint="default" w:ascii="华文楷体" w:hAnsi="华文楷体" w:eastAsia="华文楷体" w:cs="华文楷体"/>
                <w:b w:val="0"/>
                <w:bCs/>
                <w:sz w:val="24"/>
                <w:lang w:val="en-US" w:eastAsia="zh-CN"/>
              </w:rPr>
            </w:pPr>
            <w:r>
              <w:rPr>
                <w:rFonts w:hint="eastAsia" w:ascii="华文楷体" w:hAnsi="华文楷体" w:eastAsia="华文楷体" w:cs="华文楷体"/>
                <w:b w:val="0"/>
                <w:bCs/>
                <w:sz w:val="24"/>
              </w:rPr>
              <w:t>报价</w:t>
            </w:r>
            <w:r>
              <w:rPr>
                <w:rFonts w:hint="eastAsia" w:ascii="华文楷体" w:hAnsi="华文楷体" w:eastAsia="华文楷体" w:cs="华文楷体"/>
                <w:b w:val="0"/>
                <w:bCs/>
                <w:sz w:val="24"/>
                <w:lang w:val="en-US" w:eastAsia="zh-CN"/>
              </w:rPr>
              <w:t>(元/年)</w:t>
            </w:r>
          </w:p>
        </w:tc>
        <w:tc>
          <w:tcPr>
            <w:tcW w:w="4914" w:type="dxa"/>
            <w:tcBorders>
              <w:top w:val="single" w:color="auto" w:sz="2" w:space="0"/>
            </w:tcBorders>
            <w:vAlign w:val="center"/>
          </w:tcPr>
          <w:p w14:paraId="5DC8A04C">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小写：</w:t>
            </w:r>
          </w:p>
          <w:p w14:paraId="51C2213D">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大写：</w:t>
            </w:r>
          </w:p>
        </w:tc>
      </w:tr>
      <w:tr w14:paraId="74E9014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76" w:hRule="atLeast"/>
        </w:trPr>
        <w:tc>
          <w:tcPr>
            <w:tcW w:w="959" w:type="dxa"/>
            <w:tcBorders>
              <w:top w:val="single" w:color="auto" w:sz="2" w:space="0"/>
            </w:tcBorders>
            <w:vAlign w:val="center"/>
          </w:tcPr>
          <w:p w14:paraId="3509175F">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2</w:t>
            </w:r>
          </w:p>
        </w:tc>
        <w:tc>
          <w:tcPr>
            <w:tcW w:w="2551" w:type="dxa"/>
            <w:tcBorders>
              <w:top w:val="single" w:color="auto" w:sz="2" w:space="0"/>
            </w:tcBorders>
            <w:vAlign w:val="center"/>
          </w:tcPr>
          <w:p w14:paraId="599CFBDD">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服务期限</w:t>
            </w:r>
          </w:p>
        </w:tc>
        <w:tc>
          <w:tcPr>
            <w:tcW w:w="4914" w:type="dxa"/>
            <w:tcBorders>
              <w:top w:val="single" w:color="auto" w:sz="2" w:space="0"/>
            </w:tcBorders>
            <w:vAlign w:val="center"/>
          </w:tcPr>
          <w:p w14:paraId="7A293D1E">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28C7D13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35" w:hRule="atLeast"/>
        </w:trPr>
        <w:tc>
          <w:tcPr>
            <w:tcW w:w="959" w:type="dxa"/>
            <w:tcBorders>
              <w:top w:val="single" w:color="auto" w:sz="2" w:space="0"/>
            </w:tcBorders>
            <w:vAlign w:val="center"/>
          </w:tcPr>
          <w:p w14:paraId="11D3161B">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3</w:t>
            </w:r>
          </w:p>
        </w:tc>
        <w:tc>
          <w:tcPr>
            <w:tcW w:w="2551" w:type="dxa"/>
            <w:tcBorders>
              <w:top w:val="single" w:color="auto" w:sz="2" w:space="0"/>
            </w:tcBorders>
            <w:vAlign w:val="center"/>
          </w:tcPr>
          <w:p w14:paraId="339F24EE">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服务地点</w:t>
            </w:r>
          </w:p>
        </w:tc>
        <w:tc>
          <w:tcPr>
            <w:tcW w:w="4914" w:type="dxa"/>
            <w:tcBorders>
              <w:top w:val="single" w:color="auto" w:sz="2" w:space="0"/>
            </w:tcBorders>
            <w:vAlign w:val="center"/>
          </w:tcPr>
          <w:p w14:paraId="57F0404F">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7EF3B7D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59" w:hRule="atLeast"/>
        </w:trPr>
        <w:tc>
          <w:tcPr>
            <w:tcW w:w="959" w:type="dxa"/>
            <w:tcBorders>
              <w:top w:val="single" w:color="000000" w:sz="4" w:space="0"/>
            </w:tcBorders>
            <w:vAlign w:val="center"/>
          </w:tcPr>
          <w:p w14:paraId="0CC2AF9A">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4</w:t>
            </w:r>
          </w:p>
        </w:tc>
        <w:tc>
          <w:tcPr>
            <w:tcW w:w="2551" w:type="dxa"/>
            <w:tcBorders>
              <w:top w:val="single" w:color="000000" w:sz="4" w:space="0"/>
            </w:tcBorders>
            <w:vAlign w:val="center"/>
          </w:tcPr>
          <w:p w14:paraId="2B22C43A">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备注</w:t>
            </w:r>
          </w:p>
        </w:tc>
        <w:tc>
          <w:tcPr>
            <w:tcW w:w="4914" w:type="dxa"/>
            <w:tcBorders>
              <w:top w:val="single" w:color="000000" w:sz="4" w:space="0"/>
            </w:tcBorders>
            <w:vAlign w:val="center"/>
          </w:tcPr>
          <w:p w14:paraId="4824617C">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bl>
    <w:p w14:paraId="2C33EBE3">
      <w:pPr>
        <w:spacing w:line="360" w:lineRule="auto"/>
        <w:ind w:firstLine="4800" w:firstLineChars="2000"/>
        <w:jc w:val="both"/>
        <w:rPr>
          <w:rFonts w:hint="eastAsia" w:ascii="华文楷体" w:hAnsi="华文楷体" w:eastAsia="华文楷体" w:cs="华文楷体"/>
          <w:b w:val="0"/>
          <w:bCs/>
          <w:sz w:val="24"/>
        </w:rPr>
      </w:pPr>
      <w:r>
        <w:rPr>
          <w:rFonts w:hint="eastAsia" w:ascii="华文楷体" w:hAnsi="华文楷体" w:eastAsia="华文楷体" w:cs="华文楷体"/>
          <w:b w:val="0"/>
          <w:bCs/>
          <w:sz w:val="24"/>
        </w:rPr>
        <w:t>供应商（加盖公章）：</w:t>
      </w:r>
    </w:p>
    <w:p w14:paraId="63D0276A">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lang w:val="en-US" w:eastAsia="zh-CN"/>
        </w:rPr>
        <w:t xml:space="preserve">                      </w:t>
      </w:r>
      <w:r>
        <w:rPr>
          <w:rFonts w:hint="eastAsia" w:ascii="华文楷体" w:hAnsi="华文楷体" w:eastAsia="华文楷体" w:cs="华文楷体"/>
          <w:b w:val="0"/>
          <w:bCs/>
          <w:sz w:val="24"/>
        </w:rPr>
        <w:t>法定代表人或委托代理人(签字)：</w:t>
      </w:r>
    </w:p>
    <w:p w14:paraId="760E82B1">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lang w:val="en-US" w:eastAsia="zh-CN"/>
        </w:rPr>
        <w:t xml:space="preserve">                            </w:t>
      </w:r>
      <w:r>
        <w:rPr>
          <w:rFonts w:hint="eastAsia" w:ascii="华文楷体" w:hAnsi="华文楷体" w:eastAsia="华文楷体" w:cs="华文楷体"/>
          <w:b w:val="0"/>
          <w:bCs/>
          <w:sz w:val="24"/>
        </w:rPr>
        <w:t>日期：  年  月  日</w:t>
      </w:r>
    </w:p>
    <w:p w14:paraId="15B63769">
      <w:pPr>
        <w:rPr>
          <w:rFonts w:hint="eastAsia" w:ascii="华文楷体" w:hAnsi="华文楷体" w:eastAsia="华文楷体" w:cs="华文楷体"/>
          <w:b w:val="0"/>
          <w:bCs/>
          <w:szCs w:val="20"/>
        </w:rPr>
      </w:pPr>
    </w:p>
    <w:p w14:paraId="0F28FD52">
      <w:pP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注：</w:t>
      </w:r>
    </w:p>
    <w:p w14:paraId="28CEA710">
      <w:pP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1、响应文件中开标一览表(报价表)内容与响应文件中明细表内容不一致的，以开标一览表(报价表)为准。响应文件的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14:paraId="2519C593">
      <w:pPr>
        <w:tabs>
          <w:tab w:val="left" w:pos="704"/>
        </w:tabs>
        <w:spacing w:line="360" w:lineRule="auto"/>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2、此表应放于响应文件目录后第一页，以方便查找。</w:t>
      </w:r>
    </w:p>
    <w:p w14:paraId="458BA77E">
      <w:pPr>
        <w:spacing w:line="360" w:lineRule="auto"/>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b w:val="0"/>
          <w:bCs/>
          <w:sz w:val="24"/>
          <w:szCs w:val="24"/>
        </w:rPr>
        <w:t xml:space="preserve">★ 3、本表应盖单位鲜章，法定代表人或委托代理人应签名。 </w:t>
      </w:r>
      <w:bookmarkEnd w:id="26"/>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7" w:name="_Toc4063"/>
      <w:r>
        <w:rPr>
          <w:rFonts w:hint="eastAsia" w:ascii="华文楷体" w:hAnsi="华文楷体" w:eastAsia="华文楷体" w:cs="华文楷体"/>
          <w:color w:val="FF0000"/>
          <w:sz w:val="32"/>
          <w:szCs w:val="32"/>
          <w:lang w:val="en-US" w:eastAsia="zh-CN"/>
        </w:rPr>
        <w:t>二、响应函</w:t>
      </w:r>
      <w:bookmarkEnd w:id="24"/>
      <w:bookmarkEnd w:id="27"/>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安宁市第一人民医院（连然院区）法医鉴定室出租项目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ANYGT-YNTP-2025N11</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1、按谈判文件项目需求及技术要求，首次报价（大写）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4FDAC759">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8" w:name="_Toc87445179"/>
      <w:bookmarkStart w:id="29" w:name="_Toc13398"/>
      <w:bookmarkStart w:id="30" w:name="_Toc493600038"/>
      <w:bookmarkStart w:id="31" w:name="_Toc22837"/>
      <w:bookmarkStart w:id="32" w:name="_Toc351391183"/>
      <w:bookmarkStart w:id="33" w:name="_Toc10217844"/>
      <w:bookmarkStart w:id="34" w:name="_Toc20950"/>
      <w:bookmarkStart w:id="35" w:name="_Toc389130506"/>
      <w:bookmarkStart w:id="36" w:name="_Toc205269530"/>
      <w:bookmarkStart w:id="37" w:name="_Toc25991"/>
      <w:r>
        <w:rPr>
          <w:rFonts w:hint="eastAsia" w:ascii="华文楷体" w:hAnsi="华文楷体" w:eastAsia="华文楷体" w:cs="华文楷体"/>
          <w:b/>
          <w:color w:val="FF0000"/>
          <w:kern w:val="0"/>
          <w:sz w:val="32"/>
          <w:szCs w:val="32"/>
          <w:lang w:val="zh-CN" w:eastAsia="zh-CN" w:bidi="ar-SA"/>
        </w:rPr>
        <w:t>三、响应人信息表</w:t>
      </w:r>
      <w:bookmarkEnd w:id="28"/>
      <w:bookmarkEnd w:id="29"/>
      <w:bookmarkEnd w:id="30"/>
      <w:bookmarkEnd w:id="31"/>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21"/>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8" w:name="OLE_LINK22"/>
            <w:bookmarkStart w:id="39"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8"/>
            <w:bookmarkEnd w:id="39"/>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08D98E2C">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0" w:name="_Toc25904"/>
      <w:r>
        <w:rPr>
          <w:rFonts w:hint="eastAsia" w:ascii="华文楷体" w:hAnsi="华文楷体" w:eastAsia="华文楷体" w:cs="华文楷体"/>
          <w:color w:val="FF0000"/>
          <w:sz w:val="32"/>
          <w:szCs w:val="32"/>
          <w:lang w:val="en-US" w:eastAsia="zh-CN"/>
        </w:rPr>
        <w:t>四、法定代表人(负责人)身份证明书</w:t>
      </w:r>
      <w:bookmarkEnd w:id="32"/>
      <w:bookmarkEnd w:id="33"/>
      <w:bookmarkEnd w:id="34"/>
      <w:bookmarkEnd w:id="35"/>
      <w:bookmarkEnd w:id="36"/>
      <w:bookmarkEnd w:id="40"/>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21"/>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8"/>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1" w:name="_Toc21393"/>
      <w:bookmarkStart w:id="42" w:name="_Toc17018"/>
      <w:r>
        <w:rPr>
          <w:rFonts w:hint="eastAsia" w:ascii="华文楷体" w:hAnsi="华文楷体" w:eastAsia="华文楷体" w:cs="华文楷体"/>
          <w:b/>
          <w:color w:val="FF0000"/>
          <w:kern w:val="0"/>
          <w:sz w:val="32"/>
          <w:szCs w:val="32"/>
          <w:lang w:val="en-US" w:eastAsia="zh-CN" w:bidi="ar-SA"/>
        </w:rPr>
        <w:t>五、法定代表人（负责人）授权委托书</w:t>
      </w:r>
      <w:bookmarkEnd w:id="41"/>
      <w:bookmarkEnd w:id="42"/>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rPr>
        <w:t>安宁市第一人民医院（连然院区）法医鉴定室出租项目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21"/>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21"/>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8"/>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4"/>
        <w:pageBreakBefore w:val="0"/>
        <w:numPr>
          <w:numId w:val="0"/>
        </w:numPr>
        <w:topLinePunct w:val="0"/>
        <w:bidi w:val="0"/>
        <w:snapToGrid/>
        <w:spacing w:line="240" w:lineRule="auto"/>
        <w:ind w:firstLine="1602" w:firstLineChars="500"/>
        <w:jc w:val="both"/>
        <w:outlineLvl w:val="0"/>
        <w:rPr>
          <w:rFonts w:hint="eastAsia" w:ascii="华文楷体" w:hAnsi="华文楷体" w:eastAsia="华文楷体" w:cs="华文楷体"/>
          <w:b/>
          <w:color w:val="FF0000"/>
          <w:kern w:val="0"/>
          <w:sz w:val="32"/>
          <w:szCs w:val="32"/>
          <w:lang w:val="en-US" w:eastAsia="zh-CN" w:bidi="ar-SA"/>
        </w:rPr>
      </w:pPr>
      <w:bookmarkStart w:id="43" w:name="_Toc15198"/>
      <w:r>
        <w:rPr>
          <w:rFonts w:hint="eastAsia" w:ascii="华文楷体" w:hAnsi="华文楷体" w:eastAsia="华文楷体" w:cs="华文楷体"/>
          <w:b/>
          <w:color w:val="FF0000"/>
          <w:kern w:val="0"/>
          <w:sz w:val="32"/>
          <w:szCs w:val="32"/>
          <w:lang w:val="en-US" w:eastAsia="zh-CN" w:bidi="ar-SA"/>
        </w:rPr>
        <w:t>六、委托代理人社保缴纳证明</w:t>
      </w:r>
      <w:bookmarkEnd w:id="43"/>
    </w:p>
    <w:p w14:paraId="40EC0322">
      <w:pPr>
        <w:numPr>
          <w:ilvl w:val="0"/>
          <w:numId w:val="0"/>
        </w:numPr>
        <w:rPr>
          <w:rFonts w:hint="eastAsia" w:ascii="华文楷体" w:hAnsi="华文楷体" w:eastAsia="华文楷体" w:cs="华文楷体"/>
          <w:color w:val="FF0000"/>
          <w:sz w:val="24"/>
          <w:szCs w:val="24"/>
          <w:lang w:eastAsia="zh-CN"/>
        </w:rPr>
      </w:pPr>
      <w:r>
        <w:rPr>
          <w:rFonts w:hint="eastAsia" w:ascii="华文楷体" w:hAnsi="华文楷体" w:eastAsia="华文楷体" w:cs="华文楷体"/>
          <w:color w:val="FF0000"/>
          <w:sz w:val="24"/>
          <w:szCs w:val="24"/>
          <w:lang w:eastAsia="zh-CN"/>
        </w:rPr>
        <w:t>（备注，可通过支付宝→市民中心→社保→社保查询→个人社保参保证明查询→个人社保参保证明下载打印（需带有水印及二维码）。如不同供应商委托代理人社保缴纳单位为同一单位，将在符合性审查环节判定为涉嫌串通投标，不予通过审查！）</w:t>
      </w:r>
    </w:p>
    <w:p w14:paraId="4725DDFA">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D3BD48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0E73F7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23BB40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05B80A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67D471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CC0CF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B481B7D">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264358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8B5C564">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81BF64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8D263D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D52690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9F62053">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90245F6">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8478"/>
      <w:r>
        <w:rPr>
          <w:rFonts w:hint="eastAsia" w:ascii="华文楷体" w:hAnsi="华文楷体" w:eastAsia="华文楷体" w:cs="华文楷体"/>
          <w:b/>
          <w:color w:val="FF0000"/>
          <w:kern w:val="0"/>
          <w:sz w:val="32"/>
          <w:szCs w:val="32"/>
          <w:lang w:val="en-US" w:eastAsia="zh-CN" w:bidi="ar-SA"/>
        </w:rPr>
        <w:t>七、响应人资质文件</w:t>
      </w:r>
      <w:bookmarkEnd w:id="44"/>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（提供司法鉴定许可证，提供统一社会信用代码营业执照扫描件，属于事业单位的提供事业单位法人证书。说明：资质文件为实质性要求，未提供或提供不全将不通过资格审查！）</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5EB070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49C411B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4BECA45F">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39360A8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p>
    <w:p w14:paraId="7221487A">
      <w:pPr>
        <w:pageBreakBefore w:val="0"/>
        <w:numPr>
          <w:ilvl w:val="0"/>
          <w:numId w:val="2"/>
        </w:numPr>
        <w:topLinePunct w:val="0"/>
        <w:bidi w:val="0"/>
        <w:snapToGrid/>
        <w:spacing w:line="240" w:lineRule="auto"/>
        <w:jc w:val="center"/>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单位基本情况及开展业务情况介绍</w:t>
      </w:r>
      <w:bookmarkEnd w:id="37"/>
    </w:p>
    <w:p w14:paraId="61BF10AF">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5E68E312">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1F5B33D2">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235AA7FE">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2DB10FD0">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1C3246DC">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5832C400">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3EEE2B90">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0EA7F05F">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71FFB2C9">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324E3054">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4BAF0AB0">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12A53D69">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0790184F">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31DAF040">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07AB1C10">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22E91718">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63E570F6">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022AB9C1">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068A5F0C">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51F3547D">
      <w:pPr>
        <w:pageBreakBefore w:val="0"/>
        <w:numPr>
          <w:numId w:val="0"/>
        </w:numPr>
        <w:topLinePunct w:val="0"/>
        <w:bidi w:val="0"/>
        <w:snapToGrid/>
        <w:spacing w:line="240" w:lineRule="auto"/>
        <w:jc w:val="both"/>
        <w:rPr>
          <w:rFonts w:hint="eastAsia" w:ascii="华文楷体" w:hAnsi="华文楷体" w:eastAsia="华文楷体" w:cs="华文楷体"/>
          <w:b/>
          <w:color w:val="FF0000"/>
          <w:kern w:val="0"/>
          <w:sz w:val="32"/>
          <w:szCs w:val="32"/>
          <w:lang w:val="en-US" w:eastAsia="zh-CN" w:bidi="ar-SA"/>
        </w:rPr>
      </w:pPr>
    </w:p>
    <w:p w14:paraId="43DD70DE">
      <w:pPr>
        <w:pStyle w:val="5"/>
        <w:bidi w:val="0"/>
        <w:ind w:firstLine="1922" w:firstLineChars="600"/>
        <w:jc w:val="both"/>
        <w:rPr>
          <w:rFonts w:hint="default" w:ascii="宋体" w:hAnsi="宋体" w:eastAsia="宋体" w:cs="宋体"/>
          <w:color w:val="auto"/>
          <w:szCs w:val="21"/>
          <w:highlight w:val="none"/>
          <w:lang w:val="en-US" w:eastAsia="zh-CN"/>
        </w:rPr>
      </w:pPr>
      <w:r>
        <w:rPr>
          <w:rFonts w:hint="eastAsia" w:ascii="华文楷体" w:hAnsi="华文楷体" w:eastAsia="华文楷体" w:cs="华文楷体"/>
          <w:b/>
          <w:color w:val="FF0000"/>
          <w:kern w:val="0"/>
          <w:sz w:val="32"/>
          <w:szCs w:val="32"/>
          <w:lang w:val="en-US" w:eastAsia="zh-CN" w:bidi="ar-SA"/>
        </w:rPr>
        <w:t>九、</w:t>
      </w:r>
      <w:bookmarkStart w:id="45" w:name="_Toc31202"/>
      <w:bookmarkStart w:id="46" w:name="_Toc29523"/>
      <w:r>
        <w:rPr>
          <w:rFonts w:hint="eastAsia" w:ascii="华文楷体" w:hAnsi="华文楷体" w:eastAsia="华文楷体" w:cs="华文楷体"/>
          <w:b/>
          <w:color w:val="FF0000"/>
          <w:kern w:val="0"/>
          <w:sz w:val="32"/>
          <w:szCs w:val="32"/>
          <w:lang w:val="en-US" w:eastAsia="zh-CN" w:bidi="ar-SA"/>
        </w:rPr>
        <w:t>不参与围标串标承诺书</w:t>
      </w:r>
    </w:p>
    <w:p w14:paraId="4E729603">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 xml:space="preserve"> 安宁市第一人民医院（连然院区）法医鉴定室出租项目</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ANYGT-YNTP-2025N11</w:t>
      </w:r>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二、我单位在本项目招标投标活动中，未参与围标串标。</w:t>
      </w:r>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四、处理方式：</w:t>
      </w:r>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3"/>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r>
        <w:rPr>
          <w:rFonts w:hint="eastAsia" w:ascii="华文楷体" w:hAnsi="华文楷体" w:eastAsia="华文楷体" w:cs="华文楷体"/>
          <w:b/>
          <w:color w:val="FF0000"/>
          <w:kern w:val="0"/>
          <w:sz w:val="32"/>
          <w:szCs w:val="32"/>
          <w:lang w:val="en-US" w:eastAsia="zh-CN" w:bidi="ar-SA"/>
        </w:rPr>
        <w:t>十、</w:t>
      </w:r>
      <w:bookmarkEnd w:id="45"/>
      <w:r>
        <w:rPr>
          <w:rFonts w:hint="eastAsia" w:ascii="华文楷体" w:hAnsi="华文楷体" w:eastAsia="华文楷体" w:cs="华文楷体"/>
          <w:b/>
          <w:color w:val="FF0000"/>
          <w:kern w:val="0"/>
          <w:sz w:val="32"/>
          <w:szCs w:val="32"/>
          <w:lang w:val="en-US" w:eastAsia="zh-CN" w:bidi="ar-SA"/>
        </w:rPr>
        <w:t>合规及廉洁自律承诺书</w:t>
      </w:r>
      <w:bookmarkEnd w:id="46"/>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23FB3BF2">
      <w:pPr>
        <w:keepNext w:val="0"/>
        <w:keepLines w:val="0"/>
        <w:pageBreakBefore w:val="0"/>
        <w:widowControl w:val="0"/>
        <w:kinsoku/>
        <w:wordWrap/>
        <w:overflowPunct/>
        <w:topLinePunct w:val="0"/>
        <w:autoSpaceDE/>
        <w:autoSpaceDN/>
        <w:bidi w:val="0"/>
        <w:adjustRightInd/>
        <w:snapToGrid/>
        <w:spacing w:line="360" w:lineRule="auto"/>
        <w:ind w:left="210" w:right="210"/>
        <w:jc w:val="center"/>
        <w:textAlignment w:val="auto"/>
        <w:rPr>
          <w:rFonts w:hint="eastAsia" w:ascii="华文楷体" w:hAnsi="华文楷体" w:eastAsia="华文楷体" w:cs="华文楷体"/>
          <w:b/>
          <w:color w:val="auto"/>
          <w:sz w:val="24"/>
          <w:szCs w:val="24"/>
          <w:highlight w:val="none"/>
        </w:rPr>
      </w:pPr>
    </w:p>
    <w:p w14:paraId="58BCECCA">
      <w:pPr>
        <w:keepNext/>
        <w:keepLines/>
        <w:spacing w:before="280" w:after="290" w:line="376" w:lineRule="auto"/>
        <w:ind w:right="210"/>
        <w:jc w:val="center"/>
        <w:outlineLvl w:val="3"/>
        <w:rPr>
          <w:rFonts w:hint="eastAsia" w:ascii="华文楷体" w:hAnsi="华文楷体" w:eastAsia="华文楷体" w:cs="华文楷体"/>
          <w:b/>
          <w:bCs/>
          <w:color w:val="auto"/>
          <w:sz w:val="28"/>
          <w:szCs w:val="28"/>
          <w:highlight w:val="none"/>
        </w:rPr>
      </w:pPr>
      <w:bookmarkStart w:id="47" w:name="_Toc6034"/>
      <w:r>
        <w:rPr>
          <w:rFonts w:hint="eastAsia" w:ascii="华文楷体" w:hAnsi="华文楷体" w:eastAsia="华文楷体" w:cs="华文楷体"/>
          <w:color w:val="auto"/>
          <w:szCs w:val="21"/>
          <w:highlight w:val="none"/>
        </w:rPr>
        <w:br w:type="page"/>
      </w:r>
      <w:r>
        <w:rPr>
          <w:rFonts w:hint="eastAsia" w:ascii="华文楷体" w:hAnsi="华文楷体" w:eastAsia="华文楷体" w:cs="华文楷体"/>
          <w:b/>
          <w:color w:val="FF0000"/>
          <w:kern w:val="0"/>
          <w:sz w:val="32"/>
          <w:szCs w:val="32"/>
          <w:lang w:val="en-US" w:eastAsia="zh-CN" w:bidi="ar-SA"/>
        </w:rPr>
        <w:t>十一、不存在禁止参与投保情形承诺书</w:t>
      </w:r>
      <w:bookmarkEnd w:id="47"/>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lang w:val="en-US" w:eastAsia="zh-CN"/>
        </w:rPr>
        <w:t xml:space="preserve"> 安宁市第一人民医院（连然院区）法医鉴定室出租项目</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48"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48"/>
    <w:p w14:paraId="0FFD989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1FC28D">
      <w:pPr>
        <w:pStyle w:val="3"/>
        <w:pageBreakBefore w:val="0"/>
        <w:numPr>
          <w:ilvl w:val="1"/>
          <w:numId w:val="0"/>
        </w:numPr>
        <w:topLinePunct w:val="0"/>
        <w:bidi w:val="0"/>
        <w:snapToGrid/>
        <w:spacing w:line="240" w:lineRule="auto"/>
        <w:ind w:firstLine="1281" w:firstLineChars="400"/>
        <w:jc w:val="both"/>
        <w:outlineLvl w:val="0"/>
        <w:rPr>
          <w:rFonts w:hint="eastAsia" w:ascii="华文楷体" w:hAnsi="华文楷体" w:eastAsia="华文楷体" w:cs="华文楷体"/>
          <w:b/>
          <w:color w:val="FF0000"/>
          <w:kern w:val="0"/>
          <w:sz w:val="32"/>
          <w:szCs w:val="32"/>
          <w:lang w:val="en-US" w:eastAsia="zh-CN" w:bidi="ar-SA"/>
        </w:rPr>
      </w:pPr>
      <w:bookmarkStart w:id="49" w:name="_Toc14865"/>
      <w:bookmarkStart w:id="50" w:name="_Toc13958"/>
      <w:r>
        <w:rPr>
          <w:rFonts w:hint="eastAsia" w:ascii="华文楷体" w:hAnsi="华文楷体" w:eastAsia="华文楷体" w:cs="华文楷体"/>
          <w:b/>
          <w:color w:val="FF0000"/>
          <w:kern w:val="0"/>
          <w:sz w:val="32"/>
          <w:szCs w:val="32"/>
          <w:lang w:val="en-US" w:eastAsia="zh-CN" w:bidi="ar-SA"/>
        </w:rPr>
        <w:t>十二、响应人认为有必要提供的其他文件</w:t>
      </w:r>
      <w:bookmarkEnd w:id="49"/>
      <w:bookmarkEnd w:id="50"/>
    </w:p>
    <w:p w14:paraId="7B21DED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492EDE6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p>
    <w:p w14:paraId="54CA378D">
      <w:pPr>
        <w:pStyle w:val="3"/>
        <w:pageBreakBefore w:val="0"/>
        <w:numPr>
          <w:ilvl w:val="1"/>
          <w:numId w:val="0"/>
        </w:numPr>
        <w:topLinePunct w:val="0"/>
        <w:bidi w:val="0"/>
        <w:snapToGrid/>
        <w:spacing w:line="240" w:lineRule="auto"/>
        <w:jc w:val="center"/>
        <w:outlineLvl w:val="0"/>
        <w:rPr>
          <w:rFonts w:asciiTheme="majorEastAsia" w:hAnsiTheme="majorEastAsia" w:eastAsiaTheme="majorEastAsia"/>
          <w:sz w:val="32"/>
          <w:szCs w:val="32"/>
        </w:rPr>
      </w:pPr>
      <w:bookmarkStart w:id="51" w:name="_Toc14981"/>
      <w:r>
        <w:rPr>
          <w:rFonts w:hint="eastAsia" w:ascii="华文楷体" w:hAnsi="华文楷体" w:eastAsia="华文楷体" w:cs="华文楷体"/>
          <w:color w:val="FF0000"/>
          <w:sz w:val="32"/>
          <w:szCs w:val="32"/>
          <w:lang w:val="en-US" w:eastAsia="zh-CN"/>
        </w:rPr>
        <w:t>十三、二次报价承诺书</w:t>
      </w:r>
      <w:bookmarkEnd w:id="51"/>
    </w:p>
    <w:p w14:paraId="142A69C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404691DF">
      <w:pPr>
        <w:keepNext w:val="0"/>
        <w:keepLines w:val="0"/>
        <w:pageBreakBefore w:val="0"/>
        <w:widowControl w:val="0"/>
        <w:kinsoku/>
        <w:wordWrap/>
        <w:overflowPunct/>
        <w:topLinePunct w:val="0"/>
        <w:autoSpaceDE/>
        <w:autoSpaceDN/>
        <w:bidi w:val="0"/>
        <w:adjustRightInd/>
        <w:snapToGrid w:val="0"/>
        <w:spacing w:line="560" w:lineRule="exact"/>
        <w:ind w:firstLine="561" w:firstLineChars="200"/>
        <w:jc w:val="left"/>
        <w:textAlignment w:val="auto"/>
        <w:rPr>
          <w:rFonts w:hint="eastAsia" w:ascii="华文楷体" w:hAnsi="华文楷体" w:eastAsia="华文楷体" w:cs="华文楷体"/>
          <w:color w:val="auto"/>
          <w:sz w:val="28"/>
          <w:szCs w:val="28"/>
          <w:highlight w:val="none"/>
        </w:rPr>
      </w:pPr>
      <w:bookmarkStart w:id="52" w:name="_Toc26533"/>
      <w:bookmarkStart w:id="53" w:name="_Toc7590"/>
      <w:bookmarkStart w:id="54" w:name="_Toc23910"/>
      <w:bookmarkStart w:id="55" w:name="_Toc19048"/>
      <w:bookmarkStart w:id="56" w:name="_Toc25364"/>
      <w:bookmarkStart w:id="57" w:name="_Toc5152"/>
      <w:r>
        <w:rPr>
          <w:rFonts w:hint="eastAsia" w:ascii="华文楷体" w:hAnsi="华文楷体" w:eastAsia="华文楷体" w:cs="华文楷体"/>
          <w:b/>
          <w:bCs/>
          <w:color w:val="auto"/>
          <w:sz w:val="28"/>
          <w:szCs w:val="28"/>
          <w:highlight w:val="none"/>
        </w:rPr>
        <w:t>致：</w:t>
      </w:r>
      <w:bookmarkEnd w:id="52"/>
      <w:bookmarkEnd w:id="53"/>
      <w:r>
        <w:rPr>
          <w:rFonts w:hint="eastAsia" w:ascii="华文楷体" w:hAnsi="华文楷体" w:eastAsia="华文楷体" w:cs="华文楷体"/>
          <w:color w:val="auto"/>
          <w:sz w:val="28"/>
          <w:szCs w:val="28"/>
          <w:highlight w:val="none"/>
          <w:lang w:val="en-US" w:eastAsia="zh-CN"/>
        </w:rPr>
        <w:t>安宁市第一人民医院</w:t>
      </w:r>
      <w:bookmarkEnd w:id="54"/>
      <w:bookmarkEnd w:id="55"/>
      <w:bookmarkEnd w:id="56"/>
      <w:bookmarkEnd w:id="57"/>
      <w:r>
        <w:rPr>
          <w:rFonts w:hint="eastAsia" w:ascii="华文楷体" w:hAnsi="华文楷体" w:eastAsia="华文楷体" w:cs="华文楷体"/>
          <w:color w:val="auto"/>
          <w:sz w:val="28"/>
          <w:szCs w:val="28"/>
          <w:highlight w:val="none"/>
          <w:lang w:val="en-US" w:eastAsia="zh-CN"/>
        </w:rPr>
        <w:t>，</w:t>
      </w:r>
      <w:r>
        <w:rPr>
          <w:rFonts w:hint="eastAsia" w:ascii="华文楷体" w:hAnsi="华文楷体" w:eastAsia="华文楷体" w:cs="华文楷体"/>
          <w:color w:val="auto"/>
          <w:sz w:val="28"/>
          <w:szCs w:val="28"/>
          <w:highlight w:val="none"/>
        </w:rPr>
        <w:t>根据</w:t>
      </w:r>
      <w:r>
        <w:rPr>
          <w:rFonts w:hint="eastAsia" w:ascii="华文楷体" w:hAnsi="华文楷体" w:eastAsia="华文楷体" w:cs="华文楷体"/>
          <w:color w:val="auto"/>
          <w:sz w:val="28"/>
          <w:szCs w:val="28"/>
          <w:highlight w:val="none"/>
          <w:lang w:eastAsia="zh-CN"/>
        </w:rPr>
        <w:t>贵</w:t>
      </w:r>
      <w:r>
        <w:rPr>
          <w:rFonts w:hint="eastAsia" w:ascii="华文楷体" w:hAnsi="华文楷体" w:eastAsia="华文楷体" w:cs="华文楷体"/>
          <w:color w:val="auto"/>
          <w:sz w:val="28"/>
          <w:szCs w:val="28"/>
          <w:highlight w:val="none"/>
        </w:rPr>
        <w:t>方</w:t>
      </w:r>
      <w:r>
        <w:rPr>
          <w:rFonts w:hint="eastAsia" w:ascii="华文楷体" w:hAnsi="华文楷体" w:eastAsia="华文楷体" w:cs="华文楷体"/>
          <w:b w:val="0"/>
          <w:bCs w:val="0"/>
          <w:color w:val="auto"/>
          <w:kern w:val="2"/>
          <w:sz w:val="28"/>
          <w:szCs w:val="28"/>
          <w:highlight w:val="none"/>
          <w:u w:val="single"/>
          <w:lang w:val="en-US" w:eastAsia="zh-CN" w:bidi="ar-SA"/>
        </w:rPr>
        <w:t>安宁市第一人民医院（连然院区）法医鉴定室出租项目（项目编号：</w:t>
      </w:r>
      <w:r>
        <w:rPr>
          <w:rFonts w:hint="eastAsia" w:ascii="华文楷体" w:hAnsi="华文楷体" w:eastAsia="华文楷体" w:cs="华文楷体"/>
          <w:b w:val="0"/>
          <w:bCs/>
          <w:color w:val="auto"/>
          <w:sz w:val="28"/>
          <w:szCs w:val="28"/>
          <w:highlight w:val="none"/>
          <w:u w:val="single"/>
          <w:lang w:val="en-US" w:eastAsia="zh-CN"/>
        </w:rPr>
        <w:t>ANYGT-YNTP-2025N11</w:t>
      </w:r>
      <w:r>
        <w:rPr>
          <w:rFonts w:hint="eastAsia" w:ascii="华文楷体" w:hAnsi="华文楷体" w:eastAsia="华文楷体" w:cs="华文楷体"/>
          <w:b w:val="0"/>
          <w:bCs w:val="0"/>
          <w:color w:val="auto"/>
          <w:kern w:val="2"/>
          <w:sz w:val="28"/>
          <w:szCs w:val="28"/>
          <w:highlight w:val="none"/>
          <w:u w:val="single"/>
          <w:lang w:val="en-US" w:eastAsia="zh-CN" w:bidi="ar-SA"/>
        </w:rPr>
        <w:t>）</w:t>
      </w:r>
      <w:r>
        <w:rPr>
          <w:rFonts w:hint="eastAsia" w:ascii="华文楷体" w:hAnsi="华文楷体" w:eastAsia="华文楷体" w:cs="华文楷体"/>
          <w:color w:val="auto"/>
          <w:sz w:val="28"/>
          <w:szCs w:val="28"/>
          <w:highlight w:val="none"/>
          <w:lang w:eastAsia="zh-CN"/>
        </w:rPr>
        <w:t>采购需求</w:t>
      </w:r>
      <w:r>
        <w:rPr>
          <w:rFonts w:hint="eastAsia" w:ascii="华文楷体" w:hAnsi="华文楷体" w:eastAsia="华文楷体" w:cs="华文楷体"/>
          <w:color w:val="auto"/>
          <w:sz w:val="28"/>
          <w:szCs w:val="28"/>
          <w:highlight w:val="none"/>
        </w:rPr>
        <w:t>，我方愿按</w:t>
      </w:r>
      <w:r>
        <w:rPr>
          <w:rFonts w:hint="eastAsia" w:ascii="华文楷体" w:hAnsi="华文楷体" w:eastAsia="华文楷体" w:cs="华文楷体"/>
          <w:color w:val="auto"/>
          <w:sz w:val="28"/>
          <w:szCs w:val="28"/>
          <w:highlight w:val="none"/>
          <w:lang w:eastAsia="zh-CN"/>
        </w:rPr>
        <w:t>以下报价作为</w:t>
      </w:r>
      <w:r>
        <w:rPr>
          <w:rFonts w:hint="eastAsia" w:ascii="华文楷体" w:hAnsi="华文楷体" w:eastAsia="华文楷体" w:cs="华文楷体"/>
          <w:color w:val="auto"/>
          <w:sz w:val="28"/>
          <w:szCs w:val="28"/>
          <w:highlight w:val="none"/>
        </w:rPr>
        <w:t>最终</w:t>
      </w:r>
      <w:r>
        <w:rPr>
          <w:rFonts w:hint="eastAsia" w:ascii="华文楷体" w:hAnsi="华文楷体" w:eastAsia="华文楷体" w:cs="华文楷体"/>
          <w:color w:val="auto"/>
          <w:sz w:val="28"/>
          <w:szCs w:val="28"/>
          <w:highlight w:val="none"/>
          <w:lang w:eastAsia="zh-CN"/>
        </w:rPr>
        <w:t>谈判</w:t>
      </w:r>
      <w:r>
        <w:rPr>
          <w:rFonts w:hint="eastAsia" w:ascii="华文楷体" w:hAnsi="华文楷体" w:eastAsia="华文楷体" w:cs="华文楷体"/>
          <w:color w:val="auto"/>
          <w:sz w:val="28"/>
          <w:szCs w:val="28"/>
          <w:highlight w:val="none"/>
        </w:rPr>
        <w:t>报价</w:t>
      </w:r>
      <w:r>
        <w:rPr>
          <w:rFonts w:hint="eastAsia" w:ascii="华文楷体" w:hAnsi="华文楷体" w:eastAsia="华文楷体" w:cs="华文楷体"/>
          <w:color w:val="auto"/>
          <w:sz w:val="28"/>
          <w:szCs w:val="28"/>
          <w:highlight w:val="none"/>
          <w:lang w:eastAsia="zh-CN"/>
        </w:rPr>
        <w:t>，</w:t>
      </w:r>
      <w:r>
        <w:rPr>
          <w:rFonts w:hint="eastAsia" w:ascii="华文楷体" w:hAnsi="华文楷体" w:eastAsia="华文楷体" w:cs="华文楷体"/>
          <w:color w:val="auto"/>
          <w:sz w:val="28"/>
          <w:szCs w:val="28"/>
          <w:highlight w:val="none"/>
        </w:rPr>
        <w:t>承担相应的服务工作。</w:t>
      </w:r>
    </w:p>
    <w:p w14:paraId="4A2A4945">
      <w:pPr>
        <w:pStyle w:val="6"/>
        <w:rPr>
          <w:rFonts w:hint="eastAsia" w:ascii="华文楷体" w:hAnsi="华文楷体" w:eastAsia="华文楷体" w:cs="华文楷体"/>
          <w:b w:val="0"/>
          <w:bCs/>
        </w:rPr>
      </w:pPr>
    </w:p>
    <w:tbl>
      <w:tblPr>
        <w:tblStyle w:val="21"/>
        <w:tblW w:w="8424"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59"/>
        <w:gridCol w:w="2551"/>
        <w:gridCol w:w="4914"/>
      </w:tblGrid>
      <w:tr w14:paraId="241033C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737" w:hRule="atLeast"/>
        </w:trPr>
        <w:tc>
          <w:tcPr>
            <w:tcW w:w="959" w:type="dxa"/>
            <w:tcBorders>
              <w:top w:val="single" w:color="auto" w:sz="2" w:space="0"/>
            </w:tcBorders>
            <w:vAlign w:val="center"/>
          </w:tcPr>
          <w:p w14:paraId="5F4B55C6">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1</w:t>
            </w:r>
          </w:p>
        </w:tc>
        <w:tc>
          <w:tcPr>
            <w:tcW w:w="2551" w:type="dxa"/>
            <w:tcBorders>
              <w:top w:val="single" w:color="auto" w:sz="2" w:space="0"/>
            </w:tcBorders>
            <w:vAlign w:val="center"/>
          </w:tcPr>
          <w:p w14:paraId="295B883E">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val="en-US" w:eastAsia="zh-CN"/>
              </w:rPr>
            </w:pPr>
            <w:r>
              <w:rPr>
                <w:rFonts w:hint="eastAsia" w:ascii="华文楷体" w:hAnsi="华文楷体" w:eastAsia="华文楷体" w:cs="华文楷体"/>
                <w:b w:val="0"/>
                <w:bCs/>
                <w:sz w:val="24"/>
              </w:rPr>
              <w:t>报价</w:t>
            </w:r>
            <w:r>
              <w:rPr>
                <w:rFonts w:hint="eastAsia" w:ascii="华文楷体" w:hAnsi="华文楷体" w:eastAsia="华文楷体" w:cs="华文楷体"/>
                <w:b w:val="0"/>
                <w:bCs/>
                <w:sz w:val="24"/>
                <w:lang w:eastAsia="zh-CN"/>
              </w:rPr>
              <w:t>（元</w:t>
            </w:r>
            <w:r>
              <w:rPr>
                <w:rFonts w:hint="eastAsia" w:ascii="华文楷体" w:hAnsi="华文楷体" w:eastAsia="华文楷体" w:cs="华文楷体"/>
                <w:b w:val="0"/>
                <w:bCs/>
                <w:sz w:val="24"/>
                <w:lang w:val="en-US" w:eastAsia="zh-CN"/>
              </w:rPr>
              <w:t>/年</w:t>
            </w:r>
            <w:r>
              <w:rPr>
                <w:rFonts w:hint="eastAsia" w:ascii="华文楷体" w:hAnsi="华文楷体" w:eastAsia="华文楷体" w:cs="华文楷体"/>
                <w:b w:val="0"/>
                <w:bCs/>
                <w:sz w:val="24"/>
                <w:lang w:eastAsia="zh-CN"/>
              </w:rPr>
              <w:t>）</w:t>
            </w:r>
          </w:p>
        </w:tc>
        <w:tc>
          <w:tcPr>
            <w:tcW w:w="4914" w:type="dxa"/>
            <w:tcBorders>
              <w:top w:val="single" w:color="auto" w:sz="2" w:space="0"/>
            </w:tcBorders>
            <w:vAlign w:val="center"/>
          </w:tcPr>
          <w:p w14:paraId="739D9581">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小写：</w:t>
            </w:r>
          </w:p>
          <w:p w14:paraId="2DA3E779">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大写：</w:t>
            </w:r>
          </w:p>
        </w:tc>
      </w:tr>
      <w:tr w14:paraId="6C164E7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76" w:hRule="atLeast"/>
        </w:trPr>
        <w:tc>
          <w:tcPr>
            <w:tcW w:w="959" w:type="dxa"/>
            <w:tcBorders>
              <w:top w:val="single" w:color="auto" w:sz="2" w:space="0"/>
            </w:tcBorders>
            <w:vAlign w:val="center"/>
          </w:tcPr>
          <w:p w14:paraId="6E16CE0C">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2</w:t>
            </w:r>
          </w:p>
        </w:tc>
        <w:tc>
          <w:tcPr>
            <w:tcW w:w="2551" w:type="dxa"/>
            <w:tcBorders>
              <w:top w:val="single" w:color="auto" w:sz="2" w:space="0"/>
            </w:tcBorders>
            <w:vAlign w:val="center"/>
          </w:tcPr>
          <w:p w14:paraId="2AC05626">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服务期限</w:t>
            </w:r>
          </w:p>
        </w:tc>
        <w:tc>
          <w:tcPr>
            <w:tcW w:w="4914" w:type="dxa"/>
            <w:tcBorders>
              <w:top w:val="single" w:color="auto" w:sz="2" w:space="0"/>
            </w:tcBorders>
            <w:vAlign w:val="center"/>
          </w:tcPr>
          <w:p w14:paraId="11FF92DD">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6965175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35" w:hRule="atLeast"/>
        </w:trPr>
        <w:tc>
          <w:tcPr>
            <w:tcW w:w="959" w:type="dxa"/>
            <w:tcBorders>
              <w:top w:val="single" w:color="auto" w:sz="2" w:space="0"/>
            </w:tcBorders>
            <w:vAlign w:val="center"/>
          </w:tcPr>
          <w:p w14:paraId="5CEEBCF9">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3</w:t>
            </w:r>
          </w:p>
        </w:tc>
        <w:tc>
          <w:tcPr>
            <w:tcW w:w="2551" w:type="dxa"/>
            <w:tcBorders>
              <w:top w:val="single" w:color="auto" w:sz="2" w:space="0"/>
            </w:tcBorders>
            <w:vAlign w:val="center"/>
          </w:tcPr>
          <w:p w14:paraId="4861AFAB">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服务地点</w:t>
            </w:r>
          </w:p>
        </w:tc>
        <w:tc>
          <w:tcPr>
            <w:tcW w:w="4914" w:type="dxa"/>
            <w:tcBorders>
              <w:top w:val="single" w:color="auto" w:sz="2" w:space="0"/>
            </w:tcBorders>
            <w:vAlign w:val="center"/>
          </w:tcPr>
          <w:p w14:paraId="58274C01">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7F74F4F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59" w:hRule="atLeast"/>
        </w:trPr>
        <w:tc>
          <w:tcPr>
            <w:tcW w:w="959" w:type="dxa"/>
            <w:tcBorders>
              <w:top w:val="single" w:color="000000" w:sz="4" w:space="0"/>
            </w:tcBorders>
            <w:vAlign w:val="center"/>
          </w:tcPr>
          <w:p w14:paraId="1E04C265">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4</w:t>
            </w:r>
          </w:p>
        </w:tc>
        <w:tc>
          <w:tcPr>
            <w:tcW w:w="2551" w:type="dxa"/>
            <w:tcBorders>
              <w:top w:val="single" w:color="000000" w:sz="4" w:space="0"/>
            </w:tcBorders>
            <w:vAlign w:val="center"/>
          </w:tcPr>
          <w:p w14:paraId="40A1B00E">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备注</w:t>
            </w:r>
          </w:p>
        </w:tc>
        <w:tc>
          <w:tcPr>
            <w:tcW w:w="4914" w:type="dxa"/>
            <w:tcBorders>
              <w:top w:val="single" w:color="000000" w:sz="4" w:space="0"/>
            </w:tcBorders>
            <w:vAlign w:val="center"/>
          </w:tcPr>
          <w:p w14:paraId="1FD64B90">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bl>
    <w:p w14:paraId="36389422">
      <w:pPr>
        <w:spacing w:line="360" w:lineRule="auto"/>
        <w:ind w:firstLine="4800" w:firstLineChars="2000"/>
        <w:jc w:val="both"/>
        <w:rPr>
          <w:rFonts w:hint="eastAsia" w:ascii="华文楷体" w:hAnsi="华文楷体" w:eastAsia="华文楷体" w:cs="华文楷体"/>
          <w:b w:val="0"/>
          <w:bCs/>
          <w:sz w:val="24"/>
        </w:rPr>
      </w:pPr>
      <w:r>
        <w:rPr>
          <w:rFonts w:hint="eastAsia" w:ascii="华文楷体" w:hAnsi="华文楷体" w:eastAsia="华文楷体" w:cs="华文楷体"/>
          <w:b w:val="0"/>
          <w:bCs/>
          <w:sz w:val="24"/>
        </w:rPr>
        <w:t>供应商（加盖公章）：</w:t>
      </w:r>
    </w:p>
    <w:p w14:paraId="51A4F010">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lang w:val="en-US" w:eastAsia="zh-CN"/>
        </w:rPr>
        <w:t xml:space="preserve">                      </w:t>
      </w:r>
      <w:r>
        <w:rPr>
          <w:rFonts w:hint="eastAsia" w:ascii="华文楷体" w:hAnsi="华文楷体" w:eastAsia="华文楷体" w:cs="华文楷体"/>
          <w:b w:val="0"/>
          <w:bCs/>
          <w:sz w:val="24"/>
        </w:rPr>
        <w:t>法定代表人或委托代理人(签字)：</w:t>
      </w:r>
    </w:p>
    <w:p w14:paraId="25650605">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lang w:val="en-US" w:eastAsia="zh-CN"/>
        </w:rPr>
        <w:t xml:space="preserve">                            </w:t>
      </w:r>
      <w:r>
        <w:rPr>
          <w:rFonts w:hint="eastAsia" w:ascii="华文楷体" w:hAnsi="华文楷体" w:eastAsia="华文楷体" w:cs="华文楷体"/>
          <w:b w:val="0"/>
          <w:bCs/>
          <w:sz w:val="24"/>
        </w:rPr>
        <w:t>日期：  年  月  日</w:t>
      </w:r>
    </w:p>
    <w:p w14:paraId="5657DA14">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4AE09BBF"/>
    <w:multiLevelType w:val="singleLevel"/>
    <w:tmpl w:val="4AE09BBF"/>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48600C"/>
    <w:rsid w:val="07FD6DF7"/>
    <w:rsid w:val="09670477"/>
    <w:rsid w:val="09A43E33"/>
    <w:rsid w:val="0A157CFC"/>
    <w:rsid w:val="0AD83203"/>
    <w:rsid w:val="0AF15004"/>
    <w:rsid w:val="0BF75073"/>
    <w:rsid w:val="0D1A7E23"/>
    <w:rsid w:val="0E194378"/>
    <w:rsid w:val="0E543FA7"/>
    <w:rsid w:val="0E544711"/>
    <w:rsid w:val="0E6F197A"/>
    <w:rsid w:val="0F1E4AAF"/>
    <w:rsid w:val="0F357DEB"/>
    <w:rsid w:val="0FDB07CE"/>
    <w:rsid w:val="1004704F"/>
    <w:rsid w:val="10762BDF"/>
    <w:rsid w:val="122009AF"/>
    <w:rsid w:val="12704669"/>
    <w:rsid w:val="1290609D"/>
    <w:rsid w:val="12B44329"/>
    <w:rsid w:val="12F13861"/>
    <w:rsid w:val="143A4F2F"/>
    <w:rsid w:val="144F2FB5"/>
    <w:rsid w:val="148748B0"/>
    <w:rsid w:val="149547FF"/>
    <w:rsid w:val="1513659E"/>
    <w:rsid w:val="155E1FBF"/>
    <w:rsid w:val="157A58FD"/>
    <w:rsid w:val="157E577E"/>
    <w:rsid w:val="158B3E32"/>
    <w:rsid w:val="17391B01"/>
    <w:rsid w:val="188B28E3"/>
    <w:rsid w:val="1A5225DD"/>
    <w:rsid w:val="1A5861A9"/>
    <w:rsid w:val="1B932335"/>
    <w:rsid w:val="1BDD3C44"/>
    <w:rsid w:val="1C1C01A6"/>
    <w:rsid w:val="1C292AE4"/>
    <w:rsid w:val="1C3F7586"/>
    <w:rsid w:val="1C5D582C"/>
    <w:rsid w:val="1D8951E2"/>
    <w:rsid w:val="1DE27252"/>
    <w:rsid w:val="1E2C535C"/>
    <w:rsid w:val="21750BB9"/>
    <w:rsid w:val="22210E0A"/>
    <w:rsid w:val="22B1131D"/>
    <w:rsid w:val="2407143A"/>
    <w:rsid w:val="24363CA5"/>
    <w:rsid w:val="244E37D6"/>
    <w:rsid w:val="248F398A"/>
    <w:rsid w:val="24E75EC4"/>
    <w:rsid w:val="24F20F0E"/>
    <w:rsid w:val="25555A3E"/>
    <w:rsid w:val="25794F64"/>
    <w:rsid w:val="26701E5E"/>
    <w:rsid w:val="26C708A4"/>
    <w:rsid w:val="26E2013A"/>
    <w:rsid w:val="270F2585"/>
    <w:rsid w:val="278C672D"/>
    <w:rsid w:val="280A2CD0"/>
    <w:rsid w:val="281B1F07"/>
    <w:rsid w:val="281D224A"/>
    <w:rsid w:val="29374396"/>
    <w:rsid w:val="29910FDA"/>
    <w:rsid w:val="2AA23D90"/>
    <w:rsid w:val="2AC271DA"/>
    <w:rsid w:val="2AEB6BB7"/>
    <w:rsid w:val="2B225278"/>
    <w:rsid w:val="2B63629F"/>
    <w:rsid w:val="2BC65440"/>
    <w:rsid w:val="2BF40F05"/>
    <w:rsid w:val="2CB471D5"/>
    <w:rsid w:val="2DCF09F5"/>
    <w:rsid w:val="2E3F51C4"/>
    <w:rsid w:val="2E6C65AC"/>
    <w:rsid w:val="2EFC7E35"/>
    <w:rsid w:val="2F6E0835"/>
    <w:rsid w:val="313A6169"/>
    <w:rsid w:val="31D252B9"/>
    <w:rsid w:val="321E478D"/>
    <w:rsid w:val="32425718"/>
    <w:rsid w:val="32537490"/>
    <w:rsid w:val="329810D4"/>
    <w:rsid w:val="329F26D5"/>
    <w:rsid w:val="33C44425"/>
    <w:rsid w:val="33C90985"/>
    <w:rsid w:val="345873FE"/>
    <w:rsid w:val="345968B4"/>
    <w:rsid w:val="355D7C64"/>
    <w:rsid w:val="35601B5C"/>
    <w:rsid w:val="35B36906"/>
    <w:rsid w:val="35C247F2"/>
    <w:rsid w:val="36421CF5"/>
    <w:rsid w:val="36A4329F"/>
    <w:rsid w:val="37040D59"/>
    <w:rsid w:val="373838CC"/>
    <w:rsid w:val="37565737"/>
    <w:rsid w:val="38190834"/>
    <w:rsid w:val="38410DFC"/>
    <w:rsid w:val="38766AAA"/>
    <w:rsid w:val="38F00C52"/>
    <w:rsid w:val="394E5ABB"/>
    <w:rsid w:val="39F8091D"/>
    <w:rsid w:val="3A3A3D05"/>
    <w:rsid w:val="3A4B2127"/>
    <w:rsid w:val="3ABC28C8"/>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19E7A4C"/>
    <w:rsid w:val="422034E7"/>
    <w:rsid w:val="426A3C06"/>
    <w:rsid w:val="426F4017"/>
    <w:rsid w:val="43343763"/>
    <w:rsid w:val="438D13C5"/>
    <w:rsid w:val="44241CD7"/>
    <w:rsid w:val="442742D8"/>
    <w:rsid w:val="44676AFA"/>
    <w:rsid w:val="446F6C9C"/>
    <w:rsid w:val="44B66409"/>
    <w:rsid w:val="453A3DC4"/>
    <w:rsid w:val="45680BAE"/>
    <w:rsid w:val="457277D5"/>
    <w:rsid w:val="47F47107"/>
    <w:rsid w:val="48052B82"/>
    <w:rsid w:val="48EC5ABB"/>
    <w:rsid w:val="49203136"/>
    <w:rsid w:val="49FB2F07"/>
    <w:rsid w:val="4A5A3051"/>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7454D4A"/>
    <w:rsid w:val="575242CF"/>
    <w:rsid w:val="5874599D"/>
    <w:rsid w:val="58FE3FD3"/>
    <w:rsid w:val="599F73C0"/>
    <w:rsid w:val="59A94439"/>
    <w:rsid w:val="5A643739"/>
    <w:rsid w:val="5A8738CB"/>
    <w:rsid w:val="5AEE04A2"/>
    <w:rsid w:val="5AF2343A"/>
    <w:rsid w:val="5B363095"/>
    <w:rsid w:val="5BCC36DC"/>
    <w:rsid w:val="5C4B6B03"/>
    <w:rsid w:val="5D47454B"/>
    <w:rsid w:val="5D8E4C63"/>
    <w:rsid w:val="5E4D2736"/>
    <w:rsid w:val="5E5139F5"/>
    <w:rsid w:val="5EB87851"/>
    <w:rsid w:val="5EFC4888"/>
    <w:rsid w:val="5F4E3341"/>
    <w:rsid w:val="60250735"/>
    <w:rsid w:val="607C7F1A"/>
    <w:rsid w:val="60F905B4"/>
    <w:rsid w:val="612754C0"/>
    <w:rsid w:val="61503641"/>
    <w:rsid w:val="61924DCC"/>
    <w:rsid w:val="6231187C"/>
    <w:rsid w:val="62D97D14"/>
    <w:rsid w:val="62DC4D1B"/>
    <w:rsid w:val="63471D22"/>
    <w:rsid w:val="63C35930"/>
    <w:rsid w:val="63E13A47"/>
    <w:rsid w:val="64161C35"/>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3501CF"/>
    <w:rsid w:val="6B480E55"/>
    <w:rsid w:val="6B4A74F5"/>
    <w:rsid w:val="6B783ACA"/>
    <w:rsid w:val="6BE321F3"/>
    <w:rsid w:val="6BEB2905"/>
    <w:rsid w:val="6C613F7C"/>
    <w:rsid w:val="6D0A6409"/>
    <w:rsid w:val="6D413DAD"/>
    <w:rsid w:val="6D867D65"/>
    <w:rsid w:val="6E096679"/>
    <w:rsid w:val="6E5770AB"/>
    <w:rsid w:val="6EE27ED6"/>
    <w:rsid w:val="6F285225"/>
    <w:rsid w:val="6F6F593A"/>
    <w:rsid w:val="7064403B"/>
    <w:rsid w:val="707E5225"/>
    <w:rsid w:val="71615B93"/>
    <w:rsid w:val="727E1BD2"/>
    <w:rsid w:val="736B20EA"/>
    <w:rsid w:val="739A6307"/>
    <w:rsid w:val="73F731C7"/>
    <w:rsid w:val="73FF59A6"/>
    <w:rsid w:val="74203FD3"/>
    <w:rsid w:val="7433066C"/>
    <w:rsid w:val="74364910"/>
    <w:rsid w:val="745B1903"/>
    <w:rsid w:val="761A0506"/>
    <w:rsid w:val="76BF010A"/>
    <w:rsid w:val="76D4637C"/>
    <w:rsid w:val="774E1408"/>
    <w:rsid w:val="77D05DF4"/>
    <w:rsid w:val="77F2017E"/>
    <w:rsid w:val="782347DB"/>
    <w:rsid w:val="786814A1"/>
    <w:rsid w:val="78884D24"/>
    <w:rsid w:val="7899684C"/>
    <w:rsid w:val="7B7B3317"/>
    <w:rsid w:val="7B870E80"/>
    <w:rsid w:val="7B955A8D"/>
    <w:rsid w:val="7BB353EB"/>
    <w:rsid w:val="7C585349"/>
    <w:rsid w:val="7CCD6BFD"/>
    <w:rsid w:val="7D4D49B8"/>
    <w:rsid w:val="7E0E5C20"/>
    <w:rsid w:val="7E997AC0"/>
    <w:rsid w:val="7EE64A8C"/>
    <w:rsid w:val="7F195E74"/>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3">
    <w:name w:val="Default Paragraph Font"/>
    <w:autoRedefine/>
    <w:semiHidden/>
    <w:qFormat/>
    <w:uiPriority w:val="0"/>
  </w:style>
  <w:style w:type="table" w:default="1" w:styleId="21">
    <w:name w:val="Normal Table"/>
    <w:autoRedefine/>
    <w:semiHidden/>
    <w:qFormat/>
    <w:uiPriority w:val="0"/>
    <w:tblPr>
      <w:tblCellMar>
        <w:top w:w="0" w:type="dxa"/>
        <w:left w:w="108" w:type="dxa"/>
        <w:bottom w:w="0" w:type="dxa"/>
        <w:right w:w="108" w:type="dxa"/>
      </w:tblCellMar>
    </w:tblPr>
  </w:style>
  <w:style w:type="paragraph" w:styleId="6">
    <w:name w:val="table of authorities"/>
    <w:basedOn w:val="1"/>
    <w:next w:val="1"/>
    <w:qFormat/>
    <w:uiPriority w:val="0"/>
    <w:pPr>
      <w:ind w:left="420" w:leftChars="200"/>
    </w:pPr>
  </w:style>
  <w:style w:type="paragraph" w:styleId="7">
    <w:name w:val="Document Map"/>
    <w:basedOn w:val="1"/>
    <w:autoRedefine/>
    <w:unhideWhenUsed/>
    <w:qFormat/>
    <w:uiPriority w:val="99"/>
    <w:rPr>
      <w:rFonts w:ascii="宋体" w:eastAsia="宋体"/>
      <w:sz w:val="18"/>
      <w:szCs w:val="18"/>
    </w:rPr>
  </w:style>
  <w:style w:type="paragraph" w:styleId="8">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9">
    <w:name w:val="Body Text"/>
    <w:basedOn w:val="1"/>
    <w:autoRedefine/>
    <w:qFormat/>
    <w:uiPriority w:val="0"/>
    <w:pPr>
      <w:spacing w:after="120"/>
    </w:pPr>
  </w:style>
  <w:style w:type="paragraph" w:styleId="10">
    <w:name w:val="Body Text Indent"/>
    <w:basedOn w:val="1"/>
    <w:next w:val="11"/>
    <w:qFormat/>
    <w:uiPriority w:val="0"/>
    <w:pPr>
      <w:spacing w:after="120"/>
      <w:ind w:left="420" w:leftChars="200"/>
    </w:pPr>
  </w:style>
  <w:style w:type="paragraph" w:styleId="11">
    <w:name w:val="Body Text First Indent 2"/>
    <w:basedOn w:val="10"/>
    <w:next w:val="12"/>
    <w:qFormat/>
    <w:uiPriority w:val="0"/>
    <w:pPr>
      <w:autoSpaceDE/>
      <w:autoSpaceDN/>
      <w:adjustRightInd/>
      <w:ind w:left="0" w:leftChars="0" w:firstLine="420"/>
      <w:jc w:val="both"/>
      <w:textAlignment w:val="auto"/>
    </w:pPr>
    <w:rPr>
      <w:kern w:val="2"/>
      <w:sz w:val="21"/>
      <w:szCs w:val="24"/>
    </w:rPr>
  </w:style>
  <w:style w:type="paragraph" w:styleId="12">
    <w:name w:val="Body Text First Indent"/>
    <w:basedOn w:val="9"/>
    <w:next w:val="1"/>
    <w:semiHidden/>
    <w:unhideWhenUsed/>
    <w:qFormat/>
    <w:uiPriority w:val="99"/>
    <w:pPr>
      <w:ind w:firstLine="420" w:firstLineChars="100"/>
    </w:pPr>
  </w:style>
  <w:style w:type="paragraph" w:styleId="13">
    <w:name w:val="toc 3"/>
    <w:basedOn w:val="1"/>
    <w:next w:val="1"/>
    <w:autoRedefine/>
    <w:qFormat/>
    <w:uiPriority w:val="0"/>
    <w:pPr>
      <w:ind w:left="840" w:leftChars="400"/>
    </w:pPr>
  </w:style>
  <w:style w:type="paragraph" w:styleId="14">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5">
    <w:name w:val="footer"/>
    <w:basedOn w:val="1"/>
    <w:autoRedefine/>
    <w:qFormat/>
    <w:uiPriority w:val="0"/>
    <w:pPr>
      <w:tabs>
        <w:tab w:val="center" w:pos="4153"/>
        <w:tab w:val="right" w:pos="8306"/>
      </w:tabs>
      <w:snapToGrid w:val="0"/>
      <w:jc w:val="left"/>
    </w:pPr>
    <w:rPr>
      <w:sz w:val="18"/>
    </w:rPr>
  </w:style>
  <w:style w:type="paragraph" w:styleId="1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autoRedefine/>
    <w:qFormat/>
    <w:uiPriority w:val="0"/>
  </w:style>
  <w:style w:type="paragraph" w:styleId="18">
    <w:name w:val="toc 2"/>
    <w:basedOn w:val="1"/>
    <w:next w:val="1"/>
    <w:autoRedefine/>
    <w:qFormat/>
    <w:uiPriority w:val="0"/>
    <w:pPr>
      <w:ind w:left="420" w:leftChars="200"/>
    </w:pPr>
  </w:style>
  <w:style w:type="paragraph" w:styleId="19">
    <w:name w:val="Body Text 2"/>
    <w:basedOn w:val="1"/>
    <w:autoRedefine/>
    <w:qFormat/>
    <w:uiPriority w:val="0"/>
    <w:rPr>
      <w:rFonts w:ascii="宋体"/>
      <w:sz w:val="13"/>
      <w:szCs w:val="20"/>
    </w:rPr>
  </w:style>
  <w:style w:type="paragraph" w:styleId="20">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22">
    <w:name w:val="Table Grid"/>
    <w:basedOn w:val="21"/>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autoRedefine/>
    <w:qFormat/>
    <w:uiPriority w:val="0"/>
  </w:style>
  <w:style w:type="paragraph" w:customStyle="1" w:styleId="25">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6">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7">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8">
    <w:name w:val="style4"/>
    <w:basedOn w:val="1"/>
    <w:next w:val="29"/>
    <w:autoRedefine/>
    <w:qFormat/>
    <w:uiPriority w:val="0"/>
    <w:pPr>
      <w:widowControl/>
      <w:spacing w:before="280" w:after="280"/>
    </w:pPr>
    <w:rPr>
      <w:rFonts w:ascii="宋体" w:eastAsia="宋体"/>
      <w:sz w:val="18"/>
    </w:rPr>
  </w:style>
  <w:style w:type="paragraph" w:customStyle="1" w:styleId="29">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30">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5680</Words>
  <Characters>5852</Characters>
  <Lines>0</Lines>
  <Paragraphs>0</Paragraphs>
  <TotalTime>0</TotalTime>
  <ScaleCrop>false</ScaleCrop>
  <LinksUpToDate>false</LinksUpToDate>
  <CharactersWithSpaces>7261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2025-03-14T01:42:13Z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FD4CC743FB6F4915B7160933D35F830B</vt:lpwstr>
  </property>
  <property fmtid="{D5CDD505-2E9C-101B-9397-08002B2CF9AE}" pid="4" name="KSOTemplateDocerSaveRecord">
    <vt:lpwstr>eyJoZGlkIjoiN2Q1ZTc0NDM1ODQ3ZDBmZjVjZDUzNjlmN2Y4ODAwYWEiLCJ1c2VySWQiOiIyNTAxMzU4MjAifQ==</vt:lpwstr>
  </property>
</Properties>
</file>