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2D55F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附件4安宁市医疗共同体体检系统运维服务项目（2024-2027年度）评分标准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1BF5117C">
      <w:pPr>
        <w:spacing w:line="360" w:lineRule="auto"/>
        <w:rPr>
          <w:rFonts w:hint="eastAsia" w:ascii="华文楷体" w:hAnsi="华文楷体" w:eastAsia="华文楷体" w:cs="华文楷体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二、技术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D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整体运维服务方案（20分）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364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1.第一档次（20分）：</w:t>
            </w:r>
          </w:p>
          <w:p w14:paraId="5986E2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－方案极其全面深入，覆盖所有关键领域，服务内容完整，响应全面细致。</w:t>
            </w:r>
          </w:p>
          <w:p w14:paraId="01B3ED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－技术支持计划和故障处理流程极其完善，能够迅速、准确地解决复杂运维问题。</w:t>
            </w:r>
          </w:p>
          <w:p w14:paraId="7A031B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－提出多项运维策略和方法，有明确的服务标准和监督机制，确保有效提升运维服务质量。</w:t>
            </w:r>
          </w:p>
          <w:p w14:paraId="754047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2.第二档次（15分）：</w:t>
            </w:r>
          </w:p>
          <w:p w14:paraId="54B137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－方案全面深入，针对医院体检系统</w:t>
            </w:r>
            <w:bookmarkStart w:id="0" w:name="_GoBack"/>
            <w:bookmarkEnd w:id="0"/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的特定需求进行定制化设计。</w:t>
            </w:r>
          </w:p>
          <w:p w14:paraId="2944ED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－技术支持计划和故障处理流程高度完善，能够预见并预防潜在运维问题。</w:t>
            </w:r>
          </w:p>
          <w:p w14:paraId="41FD94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－提出多项运维策略和方法，有效提升运维效率和质量。</w:t>
            </w:r>
          </w:p>
          <w:p w14:paraId="724F9D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3.第三档次（10分）：</w:t>
            </w:r>
          </w:p>
          <w:p w14:paraId="348511B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－方案内容非常全面，深入分析医院体检系统的运维需求。</w:t>
            </w:r>
          </w:p>
          <w:p w14:paraId="446619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－有完善的技术支持计划和故障处理流程，能够迅速响应并处理各种运维问题。</w:t>
            </w:r>
          </w:p>
          <w:p w14:paraId="38D777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－提出运维策略和方法能显著提高运维效率和质量。</w:t>
            </w:r>
          </w:p>
          <w:p w14:paraId="3A036C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4.第四档次（5分）：</w:t>
            </w:r>
          </w:p>
          <w:p w14:paraId="045231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－方案内容全面，涵盖运维服务的各个方面，并有一定深度。</w:t>
            </w:r>
          </w:p>
          <w:p w14:paraId="1FA80FF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－有详细的技术支持计划和故障处理流程，能够应对常见运维问题。</w:t>
            </w:r>
          </w:p>
          <w:p w14:paraId="5C44F1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－提出一些创新的运维策略和方法能提高运维效率和质量。</w:t>
            </w:r>
          </w:p>
          <w:p w14:paraId="0999A2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5.第五档次（3分）：</w:t>
            </w:r>
          </w:p>
          <w:p w14:paraId="5E6005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－方案内容较为完整，但缺乏深度。</w:t>
            </w:r>
          </w:p>
          <w:p w14:paraId="11A1A5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－有一定的技术支持计划和故障处理流程，但不够详细。</w:t>
            </w:r>
          </w:p>
          <w:p w14:paraId="28D421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－提出一些基本的运维策略和方法。</w:t>
            </w:r>
          </w:p>
          <w:p w14:paraId="20D08C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6.第六档次（0分）：</w:t>
            </w:r>
          </w:p>
          <w:p w14:paraId="2ECF30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－方案内容简单，仅涵盖基本的运维服务。</w:t>
            </w:r>
          </w:p>
          <w:p w14:paraId="085A37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－缺乏详细的技术支持计划和故障处理流程。</w:t>
            </w:r>
          </w:p>
          <w:p w14:paraId="6E623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－未提出新的运维策略或方法。</w:t>
            </w:r>
          </w:p>
        </w:tc>
      </w:tr>
      <w:tr w14:paraId="20BB5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C228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C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运维质量保证措施（20分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01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第一档次（20分）</w:t>
            </w:r>
          </w:p>
          <w:p w14:paraId="38E4A1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－质量保证承诺：有具体且详细的售后质量承诺，明确响应时间，出现问题能快速及时响应采购人，提供接近零故障率的运维服务，确保医院体检系统7x24小时稳定运行。</w:t>
            </w:r>
          </w:p>
          <w:p w14:paraId="3893D2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－保证措施：服务保障措施内容全面完整详细，完全符合项目特点，针对性强，完全满足项目的需求。</w:t>
            </w:r>
          </w:p>
          <w:p w14:paraId="440821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－处罚措施：制定严格的处罚措施，对未达标的运维服务进行严厉处罚，确保服务质量。</w:t>
            </w:r>
          </w:p>
          <w:p w14:paraId="6EF7FC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第二档次（15分）</w:t>
            </w:r>
          </w:p>
          <w:p w14:paraId="6D313A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－质量保证承诺：售后质量承诺基本完整，响应时间基本可行，出现问题时大部分情况下能及时响应采购人，但可能在某些细节或特殊情况下有所欠缺，提供高可靠性的运维服务，故障率较低。</w:t>
            </w:r>
          </w:p>
          <w:p w14:paraId="33C5EB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－保证措施：服务保障措施内容不够细化，基本符合项目需求，但仍有改进空间。</w:t>
            </w:r>
          </w:p>
          <w:p w14:paraId="52BAC9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－处罚措施：制定较为合理的处罚措施，对服务不达标的情况进行处罚。</w:t>
            </w:r>
          </w:p>
          <w:p w14:paraId="7726CB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第三档次（10分）</w:t>
            </w:r>
          </w:p>
          <w:p w14:paraId="1F79C2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－质量保证承诺：售后质量承诺内容有所缺漏，响应时间和问题处理时间及时性不足，运维服务基本可靠，能够满足医院日常需求。</w:t>
            </w:r>
          </w:p>
          <w:p w14:paraId="2AF714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－保证措施：服务保障措施基本完整，但内容简单、缺乏针对性。</w:t>
            </w:r>
          </w:p>
          <w:p w14:paraId="13300D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－处罚措施：处罚措施相对宽松，对服务不达标的情况处罚不够严厉。</w:t>
            </w:r>
          </w:p>
          <w:p w14:paraId="313CE2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第四档次（5分）</w:t>
            </w:r>
          </w:p>
          <w:p w14:paraId="1B40BBE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－质量保证承诺：对运维服务质量有所承诺，但内容模糊，缺乏具体标准，运维服务存在偶尔的故障和不稳定情况。</w:t>
            </w:r>
          </w:p>
          <w:p w14:paraId="783FFE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－保证措施：服务保障措施缺乏实质性内容，难以有效的保障服务质量，与项目需求有一定差距。</w:t>
            </w:r>
          </w:p>
          <w:p w14:paraId="2053F5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－处罚措施：处罚措施不明确或执行不力。</w:t>
            </w:r>
          </w:p>
          <w:p w14:paraId="09515C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第五档次（0分）</w:t>
            </w:r>
          </w:p>
          <w:p w14:paraId="1411032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－质量保证承诺：未对运维服务质量做出明确承诺，运维服务频繁出现故障，影响医院正常工作。</w:t>
            </w:r>
          </w:p>
          <w:p w14:paraId="016126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－保证措施：未制定服务保障措施</w:t>
            </w:r>
          </w:p>
          <w:p w14:paraId="2AECD2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－处罚措施：未制定处罚措施。</w:t>
            </w:r>
          </w:p>
        </w:tc>
      </w:tr>
      <w:tr w14:paraId="5699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D3186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6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项目团队人员配置（20分）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DFC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（1）组织机构管理体系（5分）</w:t>
            </w:r>
          </w:p>
          <w:p w14:paraId="10FC34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组织机构管理体系完善，有明确的现场运维负责人，具备相关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Hans" w:bidi="ar-SA"/>
              </w:rPr>
              <w:t>运维资质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，能够有效地支持维保服务项目的实施（须提供现场运维负责人社保证明材料，参保证明须有能识别真假的二维码，未提供参保证明的人员不予认可）</w:t>
            </w:r>
          </w:p>
          <w:p w14:paraId="4210C2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（2）人员专业及人员配置（10分）</w:t>
            </w:r>
          </w:p>
          <w:p w14:paraId="1A0125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注：须提供个人社保证明材料，参保证明须有能识别真假的二维码，未提供参保证明的人员不予认可</w:t>
            </w:r>
          </w:p>
          <w:p w14:paraId="241738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（3）人员不更换承诺（2.5分）</w:t>
            </w:r>
          </w:p>
          <w:p w14:paraId="0CCB68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项目团队在合同期内承诺不更换关键人员，确保项目的连续性和稳定性。</w:t>
            </w:r>
          </w:p>
          <w:p w14:paraId="5DB3FF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（4）违约责任（2.5分）</w:t>
            </w:r>
          </w:p>
          <w:p w14:paraId="32C282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对违约责任有明确、合理的规定，能够确保维保服务项目的顺利进行和违约后的处理。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4A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业绩评审（10分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975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投标人自2022年1月1日至今每完成一项类似的系统运维服务业绩得2分，加满为止。</w:t>
            </w:r>
          </w:p>
          <w:p w14:paraId="3815454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注：1.证明材料以项目合同或中标通知书或采购人（甲方）出具的证明材料为准。2.合同时间以合同签订时间计算。（例：合同签订时间为2022年1月1日签订，为有效业绩）</w:t>
            </w:r>
          </w:p>
        </w:tc>
      </w:tr>
    </w:tbl>
    <w:p w14:paraId="1DF66906">
      <w:pPr>
        <w:pStyle w:val="5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5631B5"/>
    <w:rsid w:val="08B03E69"/>
    <w:rsid w:val="09725FF9"/>
    <w:rsid w:val="0AEA18AB"/>
    <w:rsid w:val="0B8E3FFD"/>
    <w:rsid w:val="0BA17532"/>
    <w:rsid w:val="0BDC4F6E"/>
    <w:rsid w:val="11576F7C"/>
    <w:rsid w:val="158F3058"/>
    <w:rsid w:val="1771005C"/>
    <w:rsid w:val="17AE1A29"/>
    <w:rsid w:val="18A92683"/>
    <w:rsid w:val="1A306A02"/>
    <w:rsid w:val="1A385198"/>
    <w:rsid w:val="1D5C1A72"/>
    <w:rsid w:val="1E3429EF"/>
    <w:rsid w:val="20B4681E"/>
    <w:rsid w:val="21A1039B"/>
    <w:rsid w:val="21D27278"/>
    <w:rsid w:val="22590C76"/>
    <w:rsid w:val="236953D8"/>
    <w:rsid w:val="23C13183"/>
    <w:rsid w:val="26010C4D"/>
    <w:rsid w:val="267143DF"/>
    <w:rsid w:val="279D069F"/>
    <w:rsid w:val="29D84B76"/>
    <w:rsid w:val="2C5518F5"/>
    <w:rsid w:val="310C4884"/>
    <w:rsid w:val="3288404F"/>
    <w:rsid w:val="344C063B"/>
    <w:rsid w:val="368E4C2A"/>
    <w:rsid w:val="369D33CF"/>
    <w:rsid w:val="383E384F"/>
    <w:rsid w:val="388042A0"/>
    <w:rsid w:val="3943642A"/>
    <w:rsid w:val="3A8D2B96"/>
    <w:rsid w:val="3C1852A6"/>
    <w:rsid w:val="3D946B9A"/>
    <w:rsid w:val="41641CA7"/>
    <w:rsid w:val="41BE5E0E"/>
    <w:rsid w:val="44775D6C"/>
    <w:rsid w:val="451E098A"/>
    <w:rsid w:val="45C87CCF"/>
    <w:rsid w:val="47846D32"/>
    <w:rsid w:val="486D73A7"/>
    <w:rsid w:val="4D1E3BF5"/>
    <w:rsid w:val="4F94559A"/>
    <w:rsid w:val="55694DE8"/>
    <w:rsid w:val="56C86934"/>
    <w:rsid w:val="56EB73E7"/>
    <w:rsid w:val="572B7BB5"/>
    <w:rsid w:val="58DF3AAB"/>
    <w:rsid w:val="596B4E03"/>
    <w:rsid w:val="59CC030D"/>
    <w:rsid w:val="5AD023FF"/>
    <w:rsid w:val="5DD166EA"/>
    <w:rsid w:val="5F9F0D42"/>
    <w:rsid w:val="61973491"/>
    <w:rsid w:val="628506F0"/>
    <w:rsid w:val="649E3780"/>
    <w:rsid w:val="64C6798C"/>
    <w:rsid w:val="6784541A"/>
    <w:rsid w:val="6791021F"/>
    <w:rsid w:val="6ADC556D"/>
    <w:rsid w:val="6B64178A"/>
    <w:rsid w:val="6BA71E32"/>
    <w:rsid w:val="6EDD3AFA"/>
    <w:rsid w:val="706563F8"/>
    <w:rsid w:val="71ED62B2"/>
    <w:rsid w:val="727F2737"/>
    <w:rsid w:val="756F3DFF"/>
    <w:rsid w:val="79C90818"/>
    <w:rsid w:val="79CD0EA3"/>
    <w:rsid w:val="7C0261D4"/>
    <w:rsid w:val="7D86730E"/>
    <w:rsid w:val="7E73476D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7">
    <w:name w:val="Table Paragraph"/>
    <w:basedOn w:val="1"/>
    <w:qFormat/>
    <w:uiPriority w:val="1"/>
    <w:pPr>
      <w:adjustRightInd/>
      <w:textAlignment w:val="auto"/>
    </w:pPr>
    <w:rPr>
      <w:rFonts w:ascii="宋体" w:hAnsi="宋体" w:eastAsia="宋体" w:cs="宋体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622</Words>
  <Characters>644</Characters>
  <Lines>0</Lines>
  <Paragraphs>0</Paragraphs>
  <TotalTime>8</TotalTime>
  <ScaleCrop>false</ScaleCrop>
  <LinksUpToDate>false</LinksUpToDate>
  <CharactersWithSpaces>645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2024-12-24T03:39:52Z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EF91788F010144B392240AFDDBF2DFA7_13</vt:lpwstr>
  </property>
</Properties>
</file>