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8373"/>
      <w:bookmarkStart w:id="1" w:name="_Toc3538"/>
      <w:bookmarkStart w:id="2" w:name="_Toc1953"/>
      <w:bookmarkStart w:id="3" w:name="_Toc27375"/>
      <w:bookmarkStart w:id="4" w:name="_Toc6620"/>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w:t>
      </w:r>
      <w:bookmarkEnd w:id="0"/>
      <w:bookmarkEnd w:id="1"/>
      <w:bookmarkEnd w:id="2"/>
      <w:bookmarkEnd w:id="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金方院区水平衡测试项目</w:t>
      </w:r>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17988"/>
      <w:bookmarkStart w:id="6" w:name="_Toc9230"/>
      <w:bookmarkStart w:id="7" w:name="_Toc11021"/>
      <w:bookmarkStart w:id="8" w:name="_Toc22227"/>
      <w:bookmarkStart w:id="9" w:name="_Toc20741"/>
      <w:bookmarkStart w:id="10" w:name="_Toc5508"/>
      <w:bookmarkStart w:id="11" w:name="_Toc22156"/>
      <w:bookmarkStart w:id="12" w:name="_Toc12964"/>
      <w:bookmarkStart w:id="13" w:name="_Toc566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w:t>
      </w:r>
      <w:bookmarkEnd w:id="12"/>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46</w:t>
      </w:r>
      <w:bookmarkEnd w:id="13"/>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4" w:name="_Toc23534"/>
      <w:bookmarkStart w:id="15" w:name="_Toc30971"/>
      <w:bookmarkStart w:id="16" w:name="_Toc3978"/>
      <w:bookmarkStart w:id="17" w:name="_Toc16339"/>
      <w:bookmarkStart w:id="18" w:name="_Toc17121"/>
      <w:bookmarkStart w:id="19" w:name="_Toc6444"/>
      <w:bookmarkStart w:id="20" w:name="_Toc1134"/>
      <w:bookmarkStart w:id="21" w:name="_Toc7654"/>
      <w:bookmarkStart w:id="22" w:name="_Toc15726"/>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4"/>
      <w:bookmarkEnd w:id="15"/>
      <w:bookmarkEnd w:id="16"/>
      <w:bookmarkEnd w:id="17"/>
      <w:bookmarkEnd w:id="18"/>
      <w:bookmarkEnd w:id="19"/>
      <w:bookmarkEnd w:id="20"/>
      <w:bookmarkEnd w:id="21"/>
      <w:bookmarkEnd w:id="22"/>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3" w:name="_Toc14917"/>
      <w:bookmarkEnd w:id="23"/>
      <w:bookmarkStart w:id="24" w:name="_Toc184"/>
      <w:bookmarkEnd w:id="24"/>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ascii="宋体" w:hAnsi="宋体" w:eastAsia="宋体" w:cstheme="minorBidi"/>
          <w:kern w:val="2"/>
          <w:sz w:val="21"/>
          <w:szCs w:val="24"/>
          <w:lang w:val="en-US" w:eastAsia="zh-CN" w:bidi="ar-SA"/>
        </w:rPr>
        <w:id w:val="147474867"/>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23DD262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bookmarkStart w:id="25" w:name="_Toc16454"/>
          <w:bookmarkStart w:id="78" w:name="_GoBack"/>
          <w:bookmarkEnd w:id="78"/>
        </w:p>
        <w:p w14:paraId="4F7BC06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E6BC196">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531885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ACC2F39">
          <w:pPr>
            <w:spacing w:before="0" w:beforeLines="0" w:after="0" w:afterLines="0" w:line="240" w:lineRule="auto"/>
            <w:ind w:left="0" w:leftChars="0" w:right="0" w:rightChars="0" w:firstLine="0" w:firstLineChars="0"/>
            <w:jc w:val="center"/>
          </w:pPr>
          <w:r>
            <w:rPr>
              <w:rFonts w:ascii="宋体" w:hAnsi="宋体" w:eastAsia="宋体"/>
              <w:sz w:val="21"/>
            </w:rPr>
            <w:t>目录</w:t>
          </w:r>
        </w:p>
        <w:p w14:paraId="6316BB66">
          <w:pPr>
            <w:pStyle w:val="17"/>
            <w:tabs>
              <w:tab w:val="right" w:leader="dot" w:pos="8306"/>
            </w:tabs>
          </w:pPr>
          <w:r>
            <w:fldChar w:fldCharType="begin"/>
          </w:r>
          <w:r>
            <w:instrText xml:space="preserve">TOC \o "1-1" \h \u </w:instrText>
          </w:r>
          <w:r>
            <w:fldChar w:fldCharType="separate"/>
          </w:r>
          <w:r>
            <w:fldChar w:fldCharType="begin"/>
          </w:r>
          <w:r>
            <w:instrText xml:space="preserve"> HYPERLINK \l _Toc6620 </w:instrText>
          </w:r>
          <w:r>
            <w:fldChar w:fldCharType="separate"/>
          </w:r>
          <w:r>
            <w:rPr>
              <w:rFonts w:hint="eastAsia" w:ascii="华文楷体" w:hAnsi="华文楷体" w:eastAsia="华文楷体" w:cs="华文楷体"/>
              <w:bCs/>
              <w:kern w:val="44"/>
              <w:szCs w:val="48"/>
              <w:lang w:val="en-US" w:eastAsia="zh-CN" w:bidi="ar-SA"/>
            </w:rPr>
            <w:t>安宁市第一人民医院金方院区水平衡测试项目</w:t>
          </w:r>
          <w:r>
            <w:tab/>
          </w:r>
          <w:r>
            <w:fldChar w:fldCharType="begin"/>
          </w:r>
          <w:r>
            <w:instrText xml:space="preserve"> PAGEREF _Toc6620 \h </w:instrText>
          </w:r>
          <w:r>
            <w:fldChar w:fldCharType="separate"/>
          </w:r>
          <w:r>
            <w:t>1</w:t>
          </w:r>
          <w:r>
            <w:fldChar w:fldCharType="end"/>
          </w:r>
          <w:r>
            <w:fldChar w:fldCharType="end"/>
          </w:r>
        </w:p>
        <w:p w14:paraId="6F3F42AE">
          <w:pPr>
            <w:pStyle w:val="17"/>
            <w:tabs>
              <w:tab w:val="right" w:leader="dot" w:pos="8306"/>
            </w:tabs>
          </w:pPr>
          <w:r>
            <w:fldChar w:fldCharType="begin"/>
          </w:r>
          <w:r>
            <w:instrText xml:space="preserve"> HYPERLINK \l _Toc5666 </w:instrText>
          </w:r>
          <w: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2024N146</w:t>
          </w:r>
          <w:r>
            <w:tab/>
          </w:r>
          <w:r>
            <w:fldChar w:fldCharType="begin"/>
          </w:r>
          <w:r>
            <w:instrText xml:space="preserve"> PAGEREF _Toc5666 \h </w:instrText>
          </w:r>
          <w:r>
            <w:fldChar w:fldCharType="separate"/>
          </w:r>
          <w:r>
            <w:t>1</w:t>
          </w:r>
          <w:r>
            <w:fldChar w:fldCharType="end"/>
          </w:r>
          <w:r>
            <w:fldChar w:fldCharType="end"/>
          </w:r>
        </w:p>
        <w:p w14:paraId="74A20A01">
          <w:pPr>
            <w:pStyle w:val="17"/>
            <w:tabs>
              <w:tab w:val="right" w:leader="dot" w:pos="8306"/>
            </w:tabs>
          </w:pPr>
          <w:r>
            <w:fldChar w:fldCharType="begin"/>
          </w:r>
          <w:r>
            <w:instrText xml:space="preserve"> HYPERLINK \l _Toc15726 </w:instrText>
          </w:r>
          <w: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_Toc15726 \h </w:instrText>
          </w:r>
          <w:r>
            <w:fldChar w:fldCharType="separate"/>
          </w:r>
          <w:r>
            <w:t>1</w:t>
          </w:r>
          <w:r>
            <w:fldChar w:fldCharType="end"/>
          </w:r>
          <w:r>
            <w:fldChar w:fldCharType="end"/>
          </w:r>
        </w:p>
        <w:p w14:paraId="2BAD412D">
          <w:pPr>
            <w:pStyle w:val="17"/>
            <w:tabs>
              <w:tab w:val="right" w:leader="dot" w:pos="8306"/>
            </w:tabs>
          </w:pPr>
          <w:r>
            <w:fldChar w:fldCharType="begin"/>
          </w:r>
          <w:r>
            <w:instrText xml:space="preserve"> HYPERLINK \l _Toc28070 </w:instrText>
          </w:r>
          <w:r>
            <w:fldChar w:fldCharType="separate"/>
          </w:r>
          <w:r>
            <w:rPr>
              <w:rFonts w:hint="eastAsia" w:ascii="华文楷体" w:hAnsi="华文楷体" w:eastAsia="华文楷体" w:cs="华文楷体"/>
              <w:szCs w:val="32"/>
              <w:lang w:val="en-US" w:eastAsia="zh-CN"/>
            </w:rPr>
            <w:t>一、第一轮报价一览表</w:t>
          </w:r>
          <w:r>
            <w:tab/>
          </w:r>
          <w:r>
            <w:fldChar w:fldCharType="begin"/>
          </w:r>
          <w:r>
            <w:instrText xml:space="preserve"> PAGEREF _Toc28070 \h </w:instrText>
          </w:r>
          <w:r>
            <w:fldChar w:fldCharType="separate"/>
          </w:r>
          <w:r>
            <w:t>3</w:t>
          </w:r>
          <w:r>
            <w:fldChar w:fldCharType="end"/>
          </w:r>
          <w:r>
            <w:fldChar w:fldCharType="end"/>
          </w:r>
        </w:p>
        <w:p w14:paraId="34A841D4">
          <w:pPr>
            <w:pStyle w:val="17"/>
            <w:tabs>
              <w:tab w:val="right" w:leader="dot" w:pos="8306"/>
            </w:tabs>
          </w:pPr>
          <w:r>
            <w:fldChar w:fldCharType="begin"/>
          </w:r>
          <w:r>
            <w:instrText xml:space="preserve"> HYPERLINK \l _Toc15193 </w:instrText>
          </w:r>
          <w: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_Toc15193 \h </w:instrText>
          </w:r>
          <w:r>
            <w:fldChar w:fldCharType="separate"/>
          </w:r>
          <w:r>
            <w:t>4</w:t>
          </w:r>
          <w:r>
            <w:fldChar w:fldCharType="end"/>
          </w:r>
          <w:r>
            <w:fldChar w:fldCharType="end"/>
          </w:r>
        </w:p>
        <w:p w14:paraId="4FDFEFF5">
          <w:pPr>
            <w:pStyle w:val="17"/>
            <w:tabs>
              <w:tab w:val="right" w:leader="dot" w:pos="8306"/>
            </w:tabs>
          </w:pPr>
          <w:r>
            <w:fldChar w:fldCharType="begin"/>
          </w:r>
          <w:r>
            <w:instrText xml:space="preserve"> HYPERLINK \l _Toc1312 </w:instrText>
          </w:r>
          <w:r>
            <w:fldChar w:fldCharType="separate"/>
          </w:r>
          <w:r>
            <w:rPr>
              <w:rFonts w:hint="eastAsia" w:ascii="华文楷体" w:hAnsi="华文楷体" w:eastAsia="华文楷体" w:cs="华文楷体"/>
              <w:kern w:val="0"/>
              <w:szCs w:val="32"/>
              <w:lang w:val="zh-CN" w:eastAsia="zh-CN" w:bidi="ar-SA"/>
            </w:rPr>
            <w:t>三、响应人信息表</w:t>
          </w:r>
          <w:r>
            <w:tab/>
          </w:r>
          <w:r>
            <w:fldChar w:fldCharType="begin"/>
          </w:r>
          <w:r>
            <w:instrText xml:space="preserve"> PAGEREF _Toc1312 \h </w:instrText>
          </w:r>
          <w:r>
            <w:fldChar w:fldCharType="separate"/>
          </w:r>
          <w:r>
            <w:t>6</w:t>
          </w:r>
          <w:r>
            <w:fldChar w:fldCharType="end"/>
          </w:r>
          <w:r>
            <w:fldChar w:fldCharType="end"/>
          </w:r>
        </w:p>
        <w:p w14:paraId="202323FA">
          <w:pPr>
            <w:pStyle w:val="17"/>
            <w:tabs>
              <w:tab w:val="right" w:leader="dot" w:pos="8306"/>
            </w:tabs>
          </w:pPr>
          <w:r>
            <w:fldChar w:fldCharType="begin"/>
          </w:r>
          <w:r>
            <w:instrText xml:space="preserve"> HYPERLINK \l _Toc25946 </w:instrText>
          </w:r>
          <w:r>
            <w:fldChar w:fldCharType="separate"/>
          </w:r>
          <w:r>
            <w:rPr>
              <w:rFonts w:hint="eastAsia" w:ascii="华文楷体" w:hAnsi="华文楷体" w:eastAsia="华文楷体" w:cs="华文楷体"/>
              <w:szCs w:val="32"/>
              <w:lang w:val="en-US" w:eastAsia="zh-CN"/>
            </w:rPr>
            <w:t>四、法定代表人(负责人)身份证明书</w:t>
          </w:r>
          <w:r>
            <w:tab/>
          </w:r>
          <w:r>
            <w:fldChar w:fldCharType="begin"/>
          </w:r>
          <w:r>
            <w:instrText xml:space="preserve"> PAGEREF _Toc25946 \h </w:instrText>
          </w:r>
          <w:r>
            <w:fldChar w:fldCharType="separate"/>
          </w:r>
          <w:r>
            <w:t>7</w:t>
          </w:r>
          <w:r>
            <w:fldChar w:fldCharType="end"/>
          </w:r>
          <w:r>
            <w:fldChar w:fldCharType="end"/>
          </w:r>
        </w:p>
        <w:p w14:paraId="7BC6975A">
          <w:pPr>
            <w:pStyle w:val="17"/>
            <w:tabs>
              <w:tab w:val="right" w:leader="dot" w:pos="8306"/>
            </w:tabs>
          </w:pPr>
          <w:r>
            <w:fldChar w:fldCharType="begin"/>
          </w:r>
          <w:r>
            <w:instrText xml:space="preserve"> HYPERLINK \l _Toc18795 </w:instrText>
          </w:r>
          <w:r>
            <w:fldChar w:fldCharType="separate"/>
          </w:r>
          <w:r>
            <w:rPr>
              <w:rFonts w:hint="eastAsia" w:ascii="华文楷体" w:hAnsi="华文楷体" w:eastAsia="华文楷体" w:cs="华文楷体"/>
              <w:kern w:val="0"/>
              <w:szCs w:val="32"/>
              <w:lang w:val="en-US" w:eastAsia="zh-CN" w:bidi="ar-SA"/>
            </w:rPr>
            <w:t>五、法定代表人（负责人）授权委托书</w:t>
          </w:r>
          <w:r>
            <w:tab/>
          </w:r>
          <w:r>
            <w:fldChar w:fldCharType="begin"/>
          </w:r>
          <w:r>
            <w:instrText xml:space="preserve"> PAGEREF _Toc18795 \h </w:instrText>
          </w:r>
          <w:r>
            <w:fldChar w:fldCharType="separate"/>
          </w:r>
          <w:r>
            <w:t>8</w:t>
          </w:r>
          <w:r>
            <w:fldChar w:fldCharType="end"/>
          </w:r>
          <w:r>
            <w:fldChar w:fldCharType="end"/>
          </w:r>
        </w:p>
        <w:p w14:paraId="2A246A20">
          <w:pPr>
            <w:pStyle w:val="17"/>
            <w:tabs>
              <w:tab w:val="right" w:leader="dot" w:pos="8306"/>
            </w:tabs>
          </w:pPr>
          <w:r>
            <w:fldChar w:fldCharType="begin"/>
          </w:r>
          <w:r>
            <w:instrText xml:space="preserve"> HYPERLINK \l _Toc5806 </w:instrText>
          </w:r>
          <w:r>
            <w:fldChar w:fldCharType="separate"/>
          </w:r>
          <w:r>
            <w:rPr>
              <w:rFonts w:hint="eastAsia" w:ascii="华文楷体" w:hAnsi="华文楷体" w:eastAsia="华文楷体" w:cs="华文楷体"/>
              <w:kern w:val="0"/>
              <w:szCs w:val="32"/>
              <w:lang w:val="en-US" w:eastAsia="zh-CN" w:bidi="ar-SA"/>
            </w:rPr>
            <w:t>六、委托代理人社保缴纳证明</w:t>
          </w:r>
          <w:r>
            <w:tab/>
          </w:r>
          <w:r>
            <w:fldChar w:fldCharType="begin"/>
          </w:r>
          <w:r>
            <w:instrText xml:space="preserve"> PAGEREF _Toc5806 \h </w:instrText>
          </w:r>
          <w:r>
            <w:fldChar w:fldCharType="separate"/>
          </w:r>
          <w:r>
            <w:t>9</w:t>
          </w:r>
          <w:r>
            <w:fldChar w:fldCharType="end"/>
          </w:r>
          <w:r>
            <w:fldChar w:fldCharType="end"/>
          </w:r>
        </w:p>
        <w:p w14:paraId="2DDB160F">
          <w:pPr>
            <w:pStyle w:val="17"/>
            <w:tabs>
              <w:tab w:val="right" w:leader="dot" w:pos="8306"/>
            </w:tabs>
          </w:pPr>
          <w:r>
            <w:fldChar w:fldCharType="begin"/>
          </w:r>
          <w:r>
            <w:instrText xml:space="preserve"> HYPERLINK \l _Toc27506 </w:instrText>
          </w:r>
          <w:r>
            <w:fldChar w:fldCharType="separate"/>
          </w:r>
          <w:r>
            <w:rPr>
              <w:rFonts w:hint="eastAsia" w:ascii="华文楷体" w:hAnsi="华文楷体" w:eastAsia="华文楷体" w:cs="华文楷体"/>
              <w:kern w:val="0"/>
              <w:szCs w:val="32"/>
              <w:lang w:val="en-US" w:eastAsia="zh-CN" w:bidi="ar-SA"/>
            </w:rPr>
            <w:t>七、响应人资格文件</w:t>
          </w:r>
          <w:r>
            <w:tab/>
          </w:r>
          <w:r>
            <w:fldChar w:fldCharType="begin"/>
          </w:r>
          <w:r>
            <w:instrText xml:space="preserve"> PAGEREF _Toc27506 \h </w:instrText>
          </w:r>
          <w:r>
            <w:fldChar w:fldCharType="separate"/>
          </w:r>
          <w:r>
            <w:t>10</w:t>
          </w:r>
          <w:r>
            <w:fldChar w:fldCharType="end"/>
          </w:r>
          <w:r>
            <w:fldChar w:fldCharType="end"/>
          </w:r>
        </w:p>
        <w:p w14:paraId="430CC646">
          <w:pPr>
            <w:pStyle w:val="17"/>
            <w:tabs>
              <w:tab w:val="right" w:leader="dot" w:pos="8306"/>
            </w:tabs>
          </w:pPr>
          <w:r>
            <w:fldChar w:fldCharType="begin"/>
          </w:r>
          <w:r>
            <w:instrText xml:space="preserve"> HYPERLINK \l _Toc31912 </w:instrText>
          </w:r>
          <w:r>
            <w:fldChar w:fldCharType="separate"/>
          </w:r>
          <w:r>
            <w:rPr>
              <w:rFonts w:hint="eastAsia" w:ascii="华文楷体" w:hAnsi="华文楷体" w:eastAsia="华文楷体" w:cs="华文楷体"/>
              <w:kern w:val="0"/>
              <w:szCs w:val="32"/>
              <w:lang w:val="en-US" w:eastAsia="zh-CN" w:bidi="ar-SA"/>
            </w:rPr>
            <w:t>十一、近三年类似项目业绩</w:t>
          </w:r>
          <w:r>
            <w:tab/>
          </w:r>
          <w:r>
            <w:fldChar w:fldCharType="begin"/>
          </w:r>
          <w:r>
            <w:instrText xml:space="preserve"> PAGEREF _Toc31912 \h </w:instrText>
          </w:r>
          <w:r>
            <w:fldChar w:fldCharType="separate"/>
          </w:r>
          <w:r>
            <w:t>14</w:t>
          </w:r>
          <w:r>
            <w:fldChar w:fldCharType="end"/>
          </w:r>
          <w:r>
            <w:fldChar w:fldCharType="end"/>
          </w:r>
        </w:p>
        <w:p w14:paraId="456C3677">
          <w:pPr>
            <w:pStyle w:val="17"/>
            <w:tabs>
              <w:tab w:val="right" w:leader="dot" w:pos="8306"/>
            </w:tabs>
          </w:pPr>
          <w:r>
            <w:fldChar w:fldCharType="begin"/>
          </w:r>
          <w:r>
            <w:instrText xml:space="preserve"> HYPERLINK \l _Toc2803 </w:instrText>
          </w:r>
          <w:r>
            <w:fldChar w:fldCharType="separate"/>
          </w:r>
          <w:r>
            <w:rPr>
              <w:rFonts w:hint="eastAsia" w:ascii="华文楷体" w:hAnsi="华文楷体" w:eastAsia="华文楷体" w:cs="华文楷体"/>
              <w:kern w:val="0"/>
              <w:szCs w:val="32"/>
              <w:lang w:val="en-US" w:eastAsia="zh-CN" w:bidi="ar-SA"/>
            </w:rPr>
            <w:t>十二、响应人认为有必要提供的其他文件</w:t>
          </w:r>
          <w:r>
            <w:tab/>
          </w:r>
          <w:r>
            <w:fldChar w:fldCharType="begin"/>
          </w:r>
          <w:r>
            <w:instrText xml:space="preserve"> PAGEREF _Toc2803 \h </w:instrText>
          </w:r>
          <w:r>
            <w:fldChar w:fldCharType="separate"/>
          </w:r>
          <w:r>
            <w:t>15</w:t>
          </w:r>
          <w:r>
            <w:fldChar w:fldCharType="end"/>
          </w:r>
          <w:r>
            <w:fldChar w:fldCharType="end"/>
          </w:r>
        </w:p>
        <w:p w14:paraId="1775DCB7">
          <w:pPr>
            <w:pStyle w:val="17"/>
            <w:tabs>
              <w:tab w:val="right" w:leader="dot" w:pos="8306"/>
            </w:tabs>
          </w:pPr>
          <w:r>
            <w:fldChar w:fldCharType="begin"/>
          </w:r>
          <w:r>
            <w:instrText xml:space="preserve"> HYPERLINK \l _Toc2303 </w:instrText>
          </w:r>
          <w:r>
            <w:fldChar w:fldCharType="separate"/>
          </w:r>
          <w:r>
            <w:rPr>
              <w:rFonts w:hint="eastAsia" w:ascii="华文楷体" w:hAnsi="华文楷体" w:eastAsia="华文楷体" w:cs="华文楷体"/>
              <w:kern w:val="0"/>
              <w:szCs w:val="32"/>
              <w:lang w:val="en-US" w:eastAsia="zh-CN" w:bidi="ar-SA"/>
            </w:rPr>
            <w:t>十三、不参与围标串标承诺书</w:t>
          </w:r>
          <w:r>
            <w:tab/>
          </w:r>
          <w:r>
            <w:fldChar w:fldCharType="begin"/>
          </w:r>
          <w:r>
            <w:instrText xml:space="preserve"> PAGEREF _Toc2303 \h </w:instrText>
          </w:r>
          <w:r>
            <w:fldChar w:fldCharType="separate"/>
          </w:r>
          <w:r>
            <w:t>16</w:t>
          </w:r>
          <w:r>
            <w:fldChar w:fldCharType="end"/>
          </w:r>
          <w:r>
            <w:fldChar w:fldCharType="end"/>
          </w:r>
        </w:p>
        <w:p w14:paraId="3AB9641F">
          <w:pPr>
            <w:pStyle w:val="17"/>
            <w:tabs>
              <w:tab w:val="right" w:leader="dot" w:pos="8306"/>
            </w:tabs>
          </w:pPr>
          <w:r>
            <w:fldChar w:fldCharType="begin"/>
          </w:r>
          <w:r>
            <w:instrText xml:space="preserve"> HYPERLINK \l _Toc2052 </w:instrText>
          </w:r>
          <w:r>
            <w:fldChar w:fldCharType="separate"/>
          </w:r>
          <w:r>
            <w:rPr>
              <w:rFonts w:hint="eastAsia" w:ascii="华文楷体" w:hAnsi="华文楷体" w:eastAsia="华文楷体" w:cs="华文楷体"/>
              <w:szCs w:val="21"/>
              <w:highlight w:val="none"/>
            </w:rPr>
            <w:t>二、我单位在本项目招标投标活动中，未参与围标串标。</w:t>
          </w:r>
          <w:r>
            <w:tab/>
          </w:r>
          <w:r>
            <w:fldChar w:fldCharType="begin"/>
          </w:r>
          <w:r>
            <w:instrText xml:space="preserve"> PAGEREF _Toc2052 \h </w:instrText>
          </w:r>
          <w:r>
            <w:fldChar w:fldCharType="separate"/>
          </w:r>
          <w:r>
            <w:t>16</w:t>
          </w:r>
          <w:r>
            <w:fldChar w:fldCharType="end"/>
          </w:r>
          <w:r>
            <w:fldChar w:fldCharType="end"/>
          </w:r>
        </w:p>
        <w:p w14:paraId="4F17F148">
          <w:pPr>
            <w:pStyle w:val="17"/>
            <w:tabs>
              <w:tab w:val="right" w:leader="dot" w:pos="8306"/>
            </w:tabs>
          </w:pPr>
          <w:r>
            <w:fldChar w:fldCharType="begin"/>
          </w:r>
          <w:r>
            <w:instrText xml:space="preserve"> HYPERLINK \l _Toc932 </w:instrText>
          </w:r>
          <w:r>
            <w:fldChar w:fldCharType="separate"/>
          </w:r>
          <w:r>
            <w:rPr>
              <w:rFonts w:hint="eastAsia" w:ascii="华文楷体" w:hAnsi="华文楷体" w:eastAsia="华文楷体" w:cs="华文楷体"/>
              <w:szCs w:val="21"/>
              <w:highlight w:val="none"/>
              <w:lang w:val="en-US" w:eastAsia="zh-CN"/>
            </w:rPr>
            <w:t>四、处理方式：</w:t>
          </w:r>
          <w:r>
            <w:tab/>
          </w:r>
          <w:r>
            <w:fldChar w:fldCharType="begin"/>
          </w:r>
          <w:r>
            <w:instrText xml:space="preserve"> PAGEREF _Toc932 \h </w:instrText>
          </w:r>
          <w:r>
            <w:fldChar w:fldCharType="separate"/>
          </w:r>
          <w:r>
            <w:t>16</w:t>
          </w:r>
          <w:r>
            <w:fldChar w:fldCharType="end"/>
          </w:r>
          <w:r>
            <w:fldChar w:fldCharType="end"/>
          </w:r>
        </w:p>
        <w:p w14:paraId="5EDF4937">
          <w:pPr>
            <w:pStyle w:val="17"/>
            <w:tabs>
              <w:tab w:val="right" w:leader="dot" w:pos="8306"/>
            </w:tabs>
          </w:pPr>
          <w:r>
            <w:fldChar w:fldCharType="begin"/>
          </w:r>
          <w:r>
            <w:instrText xml:space="preserve"> HYPERLINK \l _Toc14890 </w:instrText>
          </w:r>
          <w:r>
            <w:fldChar w:fldCharType="separate"/>
          </w:r>
          <w:r>
            <w:rPr>
              <w:rFonts w:hint="eastAsia" w:ascii="华文楷体" w:hAnsi="华文楷体" w:eastAsia="华文楷体" w:cs="华文楷体"/>
              <w:kern w:val="0"/>
              <w:szCs w:val="32"/>
              <w:lang w:val="en-US" w:eastAsia="zh-CN" w:bidi="ar-SA"/>
            </w:rPr>
            <w:t>十四、合规及廉洁自律承诺书</w:t>
          </w:r>
          <w:r>
            <w:tab/>
          </w:r>
          <w:r>
            <w:fldChar w:fldCharType="begin"/>
          </w:r>
          <w:r>
            <w:instrText xml:space="preserve"> PAGEREF _Toc14890 \h </w:instrText>
          </w:r>
          <w:r>
            <w:fldChar w:fldCharType="separate"/>
          </w:r>
          <w:r>
            <w:t>17</w:t>
          </w:r>
          <w:r>
            <w:fldChar w:fldCharType="end"/>
          </w:r>
          <w:r>
            <w:fldChar w:fldCharType="end"/>
          </w:r>
        </w:p>
        <w:p w14:paraId="47777E0D">
          <w:pPr>
            <w:pStyle w:val="17"/>
            <w:tabs>
              <w:tab w:val="right" w:leader="dot" w:pos="8306"/>
            </w:tabs>
          </w:pPr>
          <w:r>
            <w:fldChar w:fldCharType="begin"/>
          </w:r>
          <w:r>
            <w:instrText xml:space="preserve"> HYPERLINK \l _Toc8215 </w:instrText>
          </w:r>
          <w:r>
            <w:fldChar w:fldCharType="separate"/>
          </w:r>
          <w:r>
            <w:rPr>
              <w:rFonts w:hint="eastAsia" w:ascii="华文楷体" w:hAnsi="华文楷体" w:eastAsia="华文楷体" w:cs="华文楷体"/>
              <w:szCs w:val="21"/>
              <w:highlight w:val="none"/>
              <w:lang w:val="en-US" w:eastAsia="zh-CN"/>
            </w:rPr>
            <w:t>一</w:t>
          </w:r>
          <w:r>
            <w:rPr>
              <w:rFonts w:hint="eastAsia" w:ascii="华文楷体" w:hAnsi="华文楷体" w:eastAsia="华文楷体" w:cs="华文楷体"/>
              <w:szCs w:val="21"/>
              <w:highlight w:val="none"/>
            </w:rPr>
            <w:t>、我方保证并要求我方人员及利益相关方做到：</w:t>
          </w:r>
          <w:r>
            <w:tab/>
          </w:r>
          <w:r>
            <w:fldChar w:fldCharType="begin"/>
          </w:r>
          <w:r>
            <w:instrText xml:space="preserve"> PAGEREF _Toc8215 \h </w:instrText>
          </w:r>
          <w:r>
            <w:fldChar w:fldCharType="separate"/>
          </w:r>
          <w:r>
            <w:t>17</w:t>
          </w:r>
          <w:r>
            <w:fldChar w:fldCharType="end"/>
          </w:r>
          <w:r>
            <w:fldChar w:fldCharType="end"/>
          </w:r>
        </w:p>
        <w:p w14:paraId="1462A6BF">
          <w:pPr>
            <w:pStyle w:val="17"/>
            <w:tabs>
              <w:tab w:val="right" w:leader="dot" w:pos="8306"/>
            </w:tabs>
          </w:pPr>
          <w:r>
            <w:fldChar w:fldCharType="begin"/>
          </w:r>
          <w:r>
            <w:instrText xml:space="preserve"> HYPERLINK \l _Toc195 </w:instrText>
          </w:r>
          <w:r>
            <w:fldChar w:fldCharType="separate"/>
          </w:r>
          <w:r>
            <w:rPr>
              <w:rFonts w:hint="eastAsia" w:ascii="华文楷体" w:hAnsi="华文楷体" w:eastAsia="华文楷体" w:cs="华文楷体"/>
              <w:kern w:val="0"/>
              <w:szCs w:val="32"/>
              <w:lang w:val="en-US" w:eastAsia="zh-CN" w:bidi="ar-SA"/>
            </w:rPr>
            <w:t>十五、不存在禁止参与投保情形承诺书</w:t>
          </w:r>
          <w:r>
            <w:tab/>
          </w:r>
          <w:r>
            <w:fldChar w:fldCharType="begin"/>
          </w:r>
          <w:r>
            <w:instrText xml:space="preserve"> PAGEREF _Toc195 \h </w:instrText>
          </w:r>
          <w:r>
            <w:fldChar w:fldCharType="separate"/>
          </w:r>
          <w:r>
            <w:t>19</w:t>
          </w:r>
          <w:r>
            <w:fldChar w:fldCharType="end"/>
          </w:r>
          <w:r>
            <w:fldChar w:fldCharType="end"/>
          </w:r>
        </w:p>
        <w:p w14:paraId="62FADC69">
          <w:pPr>
            <w:pStyle w:val="17"/>
            <w:tabs>
              <w:tab w:val="right" w:leader="dot" w:pos="8306"/>
            </w:tabs>
          </w:pPr>
          <w:r>
            <w:fldChar w:fldCharType="begin"/>
          </w:r>
          <w:r>
            <w:instrText xml:space="preserve"> HYPERLINK \l _Toc23190 </w:instrText>
          </w:r>
          <w:r>
            <w:fldChar w:fldCharType="separate"/>
          </w:r>
          <w:r>
            <w:rPr>
              <w:rFonts w:hint="eastAsia" w:ascii="华文楷体" w:hAnsi="华文楷体" w:eastAsia="华文楷体" w:cs="华文楷体"/>
              <w:kern w:val="0"/>
              <w:szCs w:val="32"/>
              <w:lang w:val="en-US" w:eastAsia="zh-CN" w:bidi="ar-SA"/>
            </w:rPr>
            <w:t>十六：二次报价承诺书</w:t>
          </w:r>
          <w:r>
            <w:tab/>
          </w:r>
          <w:r>
            <w:fldChar w:fldCharType="begin"/>
          </w:r>
          <w:r>
            <w:instrText xml:space="preserve"> PAGEREF _Toc23190 \h </w:instrText>
          </w:r>
          <w:r>
            <w:fldChar w:fldCharType="separate"/>
          </w:r>
          <w:r>
            <w:t>20</w:t>
          </w:r>
          <w:r>
            <w:fldChar w:fldCharType="end"/>
          </w:r>
          <w:r>
            <w:fldChar w:fldCharType="end"/>
          </w:r>
        </w:p>
        <w:p w14:paraId="3D5DCB31">
          <w:pPr>
            <w:sectPr>
              <w:footerReference r:id="rId3" w:type="default"/>
              <w:pgSz w:w="11906" w:h="16838"/>
              <w:pgMar w:top="1440" w:right="1800" w:bottom="1440" w:left="1800" w:header="851" w:footer="992" w:gutter="0"/>
              <w:pgNumType w:fmt="decimal"/>
              <w:cols w:space="425" w:num="1"/>
              <w:docGrid w:type="lines" w:linePitch="312" w:charSpace="0"/>
            </w:sectPr>
          </w:pPr>
          <w:r>
            <w:fldChar w:fldCharType="end"/>
          </w:r>
        </w:p>
      </w:sdtContent>
    </w:sdt>
    <w:p w14:paraId="0F7C682E">
      <w:pPr>
        <w:pStyle w:val="3"/>
        <w:pageBreakBefore w:val="0"/>
        <w:numPr>
          <w:ilvl w:val="1"/>
          <w:numId w:val="0"/>
        </w:numPr>
        <w:topLinePunct w:val="0"/>
        <w:bidi w:val="0"/>
        <w:snapToGrid/>
        <w:spacing w:line="240" w:lineRule="auto"/>
        <w:jc w:val="center"/>
        <w:outlineLvl w:val="0"/>
        <w:rPr>
          <w:rFonts w:asciiTheme="majorEastAsia" w:hAnsiTheme="majorEastAsia" w:eastAsiaTheme="majorEastAsia"/>
          <w:sz w:val="32"/>
          <w:szCs w:val="32"/>
        </w:rPr>
      </w:pPr>
      <w:bookmarkStart w:id="26" w:name="_Toc28070"/>
      <w:r>
        <w:rPr>
          <w:rFonts w:hint="eastAsia" w:ascii="华文楷体" w:hAnsi="华文楷体" w:eastAsia="华文楷体" w:cs="华文楷体"/>
          <w:color w:val="FF0000"/>
          <w:sz w:val="32"/>
          <w:szCs w:val="32"/>
          <w:lang w:val="en-US" w:eastAsia="zh-CN"/>
        </w:rPr>
        <w:t>一、</w:t>
      </w:r>
      <w:bookmarkStart w:id="27" w:name="_Toc20266"/>
      <w:bookmarkStart w:id="28" w:name="_Toc493600031"/>
      <w:bookmarkStart w:id="29" w:name="_Toc18551"/>
      <w:r>
        <w:rPr>
          <w:rFonts w:hint="eastAsia" w:ascii="华文楷体" w:hAnsi="华文楷体" w:eastAsia="华文楷体" w:cs="华文楷体"/>
          <w:color w:val="FF0000"/>
          <w:sz w:val="32"/>
          <w:szCs w:val="32"/>
          <w:lang w:val="en-US" w:eastAsia="zh-CN"/>
        </w:rPr>
        <w:t>第一轮报价一览表</w:t>
      </w:r>
      <w:bookmarkEnd w:id="25"/>
      <w:bookmarkEnd w:id="26"/>
      <w:bookmarkEnd w:id="27"/>
    </w:p>
    <w:p w14:paraId="3BD5E19B">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val="0"/>
          <w:color w:val="auto"/>
          <w:kern w:val="2"/>
          <w:sz w:val="28"/>
          <w:szCs w:val="28"/>
          <w:highlight w:val="none"/>
          <w:lang w:val="en-US" w:eastAsia="zh-CN" w:bidi="ar-SA"/>
        </w:rPr>
      </w:pPr>
      <w:r>
        <w:rPr>
          <w:rFonts w:hint="eastAsia" w:ascii="华文楷体" w:hAnsi="华文楷体" w:eastAsia="华文楷体" w:cs="华文楷体"/>
          <w:b w:val="0"/>
          <w:bCs/>
          <w:sz w:val="24"/>
        </w:rPr>
        <w:t>项目名称</w:t>
      </w:r>
      <w:r>
        <w:rPr>
          <w:rFonts w:hint="eastAsia" w:ascii="华文楷体" w:hAnsi="华文楷体" w:eastAsia="华文楷体" w:cs="华文楷体"/>
          <w:b w:val="0"/>
          <w:bCs/>
          <w:sz w:val="24"/>
          <w:lang w:eastAsia="zh-CN"/>
        </w:rPr>
        <w:t>：</w:t>
      </w:r>
      <w:r>
        <w:rPr>
          <w:rFonts w:hint="eastAsia" w:ascii="华文楷体" w:hAnsi="华文楷体" w:eastAsia="华文楷体" w:cs="华文楷体"/>
          <w:b w:val="0"/>
          <w:bCs w:val="0"/>
          <w:color w:val="auto"/>
          <w:kern w:val="2"/>
          <w:sz w:val="28"/>
          <w:szCs w:val="28"/>
          <w:highlight w:val="none"/>
          <w:lang w:val="en-US" w:eastAsia="zh-CN" w:bidi="ar-SA"/>
        </w:rPr>
        <w:t>安宁市第一人民医院金方院区水平衡测试项目</w:t>
      </w:r>
    </w:p>
    <w:p w14:paraId="21FBA767">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default" w:ascii="华文楷体" w:hAnsi="华文楷体" w:eastAsia="华文楷体" w:cs="华文楷体"/>
          <w:b w:val="0"/>
          <w:bCs/>
          <w:sz w:val="24"/>
          <w:lang w:val="en-US"/>
        </w:rPr>
      </w:pPr>
      <w:r>
        <w:rPr>
          <w:rFonts w:hint="eastAsia" w:ascii="华文楷体" w:hAnsi="华文楷体" w:eastAsia="华文楷体" w:cs="华文楷体"/>
          <w:b w:val="0"/>
          <w:bCs/>
          <w:sz w:val="24"/>
          <w:lang w:eastAsia="zh-CN"/>
        </w:rPr>
        <w:t>项目编号</w:t>
      </w:r>
      <w:r>
        <w:rPr>
          <w:rFonts w:hint="eastAsia" w:ascii="华文楷体" w:hAnsi="华文楷体" w:eastAsia="华文楷体" w:cs="华文楷体"/>
          <w:b w:val="0"/>
          <w:bCs/>
          <w:sz w:val="24"/>
        </w:rPr>
        <w:t>：</w:t>
      </w:r>
      <w:r>
        <w:rPr>
          <w:rFonts w:hint="eastAsia" w:ascii="华文楷体" w:hAnsi="华文楷体" w:eastAsia="华文楷体" w:cs="华文楷体"/>
          <w:b w:val="0"/>
          <w:bCs/>
          <w:color w:val="auto"/>
          <w:sz w:val="28"/>
          <w:szCs w:val="28"/>
          <w:highlight w:val="none"/>
          <w:u w:val="none"/>
          <w:lang w:val="en-US" w:eastAsia="zh-CN"/>
        </w:rPr>
        <w:t>ANYGT-YNTP-2024N146</w:t>
      </w:r>
    </w:p>
    <w:p w14:paraId="00EB4BD4">
      <w:pPr>
        <w:pStyle w:val="6"/>
        <w:rPr>
          <w:rFonts w:hint="eastAsia" w:ascii="华文楷体" w:hAnsi="华文楷体" w:eastAsia="华文楷体" w:cs="华文楷体"/>
          <w:b w:val="0"/>
          <w:bCs/>
        </w:rPr>
      </w:pPr>
    </w:p>
    <w:tbl>
      <w:tblPr>
        <w:tblStyle w:val="21"/>
        <w:tblW w:w="842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4914"/>
      </w:tblGrid>
      <w:tr w14:paraId="343333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59" w:type="dxa"/>
            <w:tcBorders>
              <w:top w:val="single" w:color="auto" w:sz="2" w:space="0"/>
            </w:tcBorders>
            <w:vAlign w:val="center"/>
          </w:tcPr>
          <w:p w14:paraId="11A6CA8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2551" w:type="dxa"/>
            <w:tcBorders>
              <w:top w:val="single" w:color="auto" w:sz="2" w:space="0"/>
            </w:tcBorders>
            <w:vAlign w:val="center"/>
          </w:tcPr>
          <w:p w14:paraId="10F62969">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p>
        </w:tc>
        <w:tc>
          <w:tcPr>
            <w:tcW w:w="4914" w:type="dxa"/>
            <w:tcBorders>
              <w:top w:val="single" w:color="auto" w:sz="2" w:space="0"/>
            </w:tcBorders>
            <w:vAlign w:val="center"/>
          </w:tcPr>
          <w:p w14:paraId="17D46801">
            <w:pPr>
              <w:keepNext w:val="0"/>
              <w:keepLines w:val="0"/>
              <w:suppressLineNumbers w:val="0"/>
              <w:spacing w:before="0" w:beforeAutospacing="0" w:after="100" w:afterAutospacing="1"/>
              <w:ind w:left="0" w:right="0"/>
              <w:rPr>
                <w:rFonts w:hint="eastAsia" w:eastAsia="华文楷体"/>
                <w:lang w:eastAsia="zh-CN"/>
              </w:rPr>
            </w:pPr>
          </w:p>
        </w:tc>
      </w:tr>
      <w:tr w14:paraId="74E9014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59" w:type="dxa"/>
            <w:tcBorders>
              <w:top w:val="single" w:color="auto" w:sz="2" w:space="0"/>
            </w:tcBorders>
            <w:vAlign w:val="center"/>
          </w:tcPr>
          <w:p w14:paraId="3509175F">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2551" w:type="dxa"/>
            <w:tcBorders>
              <w:top w:val="single" w:color="auto" w:sz="2" w:space="0"/>
            </w:tcBorders>
            <w:vAlign w:val="center"/>
          </w:tcPr>
          <w:p w14:paraId="599CFBD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4914" w:type="dxa"/>
            <w:tcBorders>
              <w:top w:val="single" w:color="auto" w:sz="2" w:space="0"/>
            </w:tcBorders>
            <w:vAlign w:val="center"/>
          </w:tcPr>
          <w:p w14:paraId="7A293D1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C7D1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PrEx>
        <w:trPr>
          <w:cantSplit/>
          <w:trHeight w:val="635" w:hRule="atLeast"/>
        </w:trPr>
        <w:tc>
          <w:tcPr>
            <w:tcW w:w="959" w:type="dxa"/>
            <w:tcBorders>
              <w:top w:val="single" w:color="auto" w:sz="2" w:space="0"/>
            </w:tcBorders>
            <w:vAlign w:val="center"/>
          </w:tcPr>
          <w:p w14:paraId="11D3161B">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2551" w:type="dxa"/>
            <w:tcBorders>
              <w:top w:val="single" w:color="auto" w:sz="2" w:space="0"/>
            </w:tcBorders>
            <w:vAlign w:val="center"/>
          </w:tcPr>
          <w:p w14:paraId="339F24E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4914" w:type="dxa"/>
            <w:tcBorders>
              <w:top w:val="single" w:color="auto" w:sz="2" w:space="0"/>
            </w:tcBorders>
            <w:vAlign w:val="center"/>
          </w:tcPr>
          <w:p w14:paraId="57F0404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EF3B7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59" w:type="dxa"/>
            <w:tcBorders>
              <w:top w:val="single" w:color="000000" w:sz="4" w:space="0"/>
            </w:tcBorders>
            <w:vAlign w:val="center"/>
          </w:tcPr>
          <w:p w14:paraId="0CC2AF9A">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2551" w:type="dxa"/>
            <w:tcBorders>
              <w:top w:val="single" w:color="000000" w:sz="4" w:space="0"/>
            </w:tcBorders>
            <w:vAlign w:val="center"/>
          </w:tcPr>
          <w:p w14:paraId="2B22C43A">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4914" w:type="dxa"/>
            <w:tcBorders>
              <w:top w:val="single" w:color="000000" w:sz="4" w:space="0"/>
            </w:tcBorders>
            <w:vAlign w:val="center"/>
          </w:tcPr>
          <w:p w14:paraId="4824617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314AC304">
      <w:pPr>
        <w:spacing w:after="100" w:afterAutospacing="1"/>
        <w:rPr>
          <w:rFonts w:hint="eastAsia" w:ascii="华文楷体" w:hAnsi="华文楷体" w:eastAsia="华文楷体" w:cs="华文楷体"/>
          <w:b w:val="0"/>
          <w:bCs/>
          <w:sz w:val="24"/>
        </w:rPr>
      </w:pPr>
    </w:p>
    <w:p w14:paraId="2C33EBE3">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63D0276A">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法定代表人或委托代理人(签字)：</w:t>
      </w:r>
    </w:p>
    <w:p w14:paraId="760E82B1">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日期：  年  月  日</w:t>
      </w:r>
    </w:p>
    <w:p w14:paraId="15B63769">
      <w:pPr>
        <w:rPr>
          <w:rFonts w:hint="eastAsia" w:ascii="华文楷体" w:hAnsi="华文楷体" w:eastAsia="华文楷体" w:cs="华文楷体"/>
          <w:b w:val="0"/>
          <w:bCs/>
          <w:szCs w:val="20"/>
        </w:rPr>
      </w:pPr>
    </w:p>
    <w:p w14:paraId="0F28FD52">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注：</w:t>
      </w:r>
    </w:p>
    <w:p w14:paraId="28CEA710">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1、响应文件中开标一览表(报价表)内容与响应文件中明细表内容不一致的，以开标一览表(报价表)为准。响应文件的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2519C593">
      <w:pPr>
        <w:tabs>
          <w:tab w:val="left" w:pos="704"/>
        </w:tabs>
        <w:spacing w:line="360" w:lineRule="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2、此表应放于响应文件目录后第一页，以方便查找。</w:t>
      </w:r>
    </w:p>
    <w:p w14:paraId="458BA77E">
      <w:pPr>
        <w:spacing w:line="360" w:lineRule="auto"/>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b w:val="0"/>
          <w:bCs/>
          <w:sz w:val="24"/>
          <w:szCs w:val="24"/>
        </w:rPr>
        <w:t xml:space="preserve">★ 3、本表应盖单位鲜章，法定代表人或委托代理人应签名。 </w:t>
      </w:r>
      <w:bookmarkEnd w:id="28"/>
    </w:p>
    <w:p w14:paraId="12AA586B">
      <w:pPr>
        <w:pStyle w:val="3"/>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30" w:name="_Toc20829"/>
    </w:p>
    <w:p w14:paraId="7B0449C9">
      <w:pPr>
        <w:pStyle w:val="3"/>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31" w:name="_Toc15193"/>
      <w:r>
        <w:rPr>
          <w:rFonts w:hint="eastAsia" w:ascii="华文楷体" w:hAnsi="华文楷体" w:eastAsia="华文楷体" w:cs="华文楷体"/>
          <w:color w:val="FF0000"/>
          <w:sz w:val="32"/>
          <w:szCs w:val="32"/>
          <w:lang w:val="en-US" w:eastAsia="zh-CN"/>
        </w:rPr>
        <w:t>二、响应函</w:t>
      </w:r>
      <w:bookmarkEnd w:id="29"/>
      <w:bookmarkEnd w:id="30"/>
      <w:bookmarkEnd w:id="31"/>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安宁市第一人民医院金方院区水平衡测试项目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ANYGT-YNTP-2024N146</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参加谈判报价，并提交响应文件。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1、按谈判文件项目需求及技术要求，第一轮总报价（大写）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79A07498">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pgNumType w:fmt="decimal"/>
          <w:cols w:space="425" w:num="1"/>
          <w:docGrid w:type="lines" w:linePitch="312" w:charSpace="0"/>
        </w:sectPr>
      </w:pPr>
    </w:p>
    <w:p w14:paraId="11AE9615">
      <w:pPr>
        <w:pStyle w:val="4"/>
        <w:keepNext w:val="0"/>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1911"/>
      <w:bookmarkStart w:id="33" w:name="_Toc493600038"/>
      <w:bookmarkStart w:id="34" w:name="_Toc13398"/>
      <w:bookmarkStart w:id="35" w:name="_Toc87445179"/>
      <w:bookmarkStart w:id="36" w:name="_Toc1312"/>
      <w:bookmarkStart w:id="37" w:name="_Toc351391183"/>
      <w:bookmarkStart w:id="38" w:name="_Toc20950"/>
      <w:bookmarkStart w:id="39" w:name="_Toc205269530"/>
      <w:bookmarkStart w:id="40" w:name="_Toc10217844"/>
      <w:bookmarkStart w:id="41" w:name="_Toc389130506"/>
      <w:bookmarkStart w:id="42" w:name="_Toc25991"/>
      <w:r>
        <w:rPr>
          <w:rFonts w:hint="eastAsia" w:ascii="华文楷体" w:hAnsi="华文楷体" w:eastAsia="华文楷体" w:cs="华文楷体"/>
          <w:b/>
          <w:color w:val="FF0000"/>
          <w:kern w:val="0"/>
          <w:sz w:val="32"/>
          <w:szCs w:val="32"/>
          <w:lang w:val="zh-CN" w:eastAsia="zh-CN" w:bidi="ar-SA"/>
        </w:rPr>
        <w:t>三、响应人信息表</w:t>
      </w:r>
      <w:bookmarkEnd w:id="32"/>
      <w:bookmarkEnd w:id="33"/>
      <w:bookmarkEnd w:id="34"/>
      <w:bookmarkEnd w:id="35"/>
      <w:bookmarkEnd w:id="36"/>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3" w:name="OLE_LINK21"/>
            <w:bookmarkStart w:id="44" w:name="OLE_LINK22"/>
            <w:r>
              <w:rPr>
                <w:rFonts w:hint="eastAsia" w:ascii="华文楷体" w:hAnsi="华文楷体" w:eastAsia="华文楷体" w:cs="华文楷体"/>
                <w:b w:val="0"/>
                <w:bCs w:val="0"/>
                <w:kern w:val="2"/>
                <w:sz w:val="21"/>
                <w:szCs w:val="21"/>
                <w:u w:val="none"/>
                <w:lang w:val="en-US" w:eastAsia="zh-CN" w:bidi="ar-SA"/>
              </w:rPr>
              <w:t>、经销商（生产、经营许可证</w:t>
            </w:r>
            <w:bookmarkEnd w:id="43"/>
            <w:bookmarkEnd w:id="44"/>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35CCBADB">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p>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08D21EDD">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5" w:name="_Toc1789"/>
      <w:bookmarkStart w:id="46" w:name="_Toc25946"/>
      <w:r>
        <w:rPr>
          <w:rFonts w:hint="eastAsia" w:ascii="华文楷体" w:hAnsi="华文楷体" w:eastAsia="华文楷体" w:cs="华文楷体"/>
          <w:color w:val="FF0000"/>
          <w:sz w:val="32"/>
          <w:szCs w:val="32"/>
          <w:lang w:val="en-US" w:eastAsia="zh-CN"/>
        </w:rPr>
        <w:t>四、法定代表人(负责人)身份证明书</w:t>
      </w:r>
      <w:bookmarkEnd w:id="37"/>
      <w:bookmarkEnd w:id="38"/>
      <w:bookmarkEnd w:id="39"/>
      <w:bookmarkEnd w:id="40"/>
      <w:bookmarkEnd w:id="41"/>
      <w:bookmarkEnd w:id="45"/>
      <w:bookmarkEnd w:id="46"/>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40F3E5CB">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56A803C9">
      <w:pPr>
        <w:keepNext w:val="0"/>
        <w:keepLines w:val="0"/>
        <w:pageBreakBefore w:val="0"/>
        <w:widowControl w:val="0"/>
        <w:tabs>
          <w:tab w:val="left" w:pos="720"/>
          <w:tab w:val="left" w:pos="900"/>
        </w:tabs>
        <w:wordWrap/>
        <w:topLinePunct w:val="0"/>
        <w:autoSpaceDE/>
        <w:autoSpaceDN/>
        <w:bidi w:val="0"/>
        <w:adjustRightInd/>
        <w:snapToGrid/>
        <w:spacing w:line="560" w:lineRule="exact"/>
        <w:jc w:val="right"/>
        <w:textAlignment w:val="auto"/>
        <w:rPr>
          <w:rFonts w:hint="eastAsia" w:ascii="华文楷体" w:hAnsi="华文楷体" w:eastAsia="华文楷体" w:cs="华文楷体"/>
          <w:color w:val="auto"/>
          <w:sz w:val="24"/>
          <w:szCs w:val="24"/>
          <w:highlight w:val="none"/>
        </w:rPr>
      </w:pP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21"/>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270AE0DD">
      <w:pPr>
        <w:keepNext w:val="0"/>
        <w:keepLines w:val="0"/>
        <w:pageBreakBefore w:val="0"/>
        <w:widowControl w:val="0"/>
        <w:tabs>
          <w:tab w:val="left" w:pos="720"/>
          <w:tab w:val="left" w:pos="900"/>
        </w:tabs>
        <w:wordWrap/>
        <w:topLinePunct w:val="0"/>
        <w:autoSpaceDE/>
        <w:autoSpaceDN/>
        <w:bidi w:val="0"/>
        <w:adjustRightInd/>
        <w:snapToGrid/>
        <w:spacing w:line="560" w:lineRule="exact"/>
        <w:jc w:val="righ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3B041C84">
      <w:pPr>
        <w:keepNext w:val="0"/>
        <w:keepLines w:val="0"/>
        <w:pageBreakBefore w:val="0"/>
        <w:widowControl w:val="0"/>
        <w:tabs>
          <w:tab w:val="left" w:pos="720"/>
          <w:tab w:val="left" w:pos="900"/>
        </w:tabs>
        <w:wordWrap/>
        <w:topLinePunct w:val="0"/>
        <w:autoSpaceDE/>
        <w:autoSpaceDN/>
        <w:bidi w:val="0"/>
        <w:adjustRightInd/>
        <w:snapToGrid/>
        <w:spacing w:line="560" w:lineRule="exact"/>
        <w:jc w:val="righ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7C4F343">
      <w:pPr>
        <w:pStyle w:val="28"/>
        <w:pageBreakBefore w:val="0"/>
        <w:topLinePunct w:val="0"/>
        <w:bidi w:val="0"/>
        <w:snapToGrid/>
        <w:spacing w:line="240" w:lineRule="auto"/>
        <w:rPr>
          <w:rFonts w:hint="eastAsia" w:ascii="华文楷体" w:hAnsi="华文楷体" w:eastAsia="华文楷体" w:cs="华文楷体"/>
          <w:b/>
          <w:bCs/>
          <w:sz w:val="30"/>
          <w:szCs w:val="30"/>
        </w:rPr>
      </w:pPr>
    </w:p>
    <w:p w14:paraId="1B1BCA4D">
      <w:pPr>
        <w:pStyle w:val="4"/>
        <w:pageBreakBefore w:val="0"/>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7" w:name="_Toc21393"/>
      <w:bookmarkStart w:id="48" w:name="_Toc18719"/>
    </w:p>
    <w:p w14:paraId="2C1B1C66">
      <w:pPr>
        <w:pStyle w:val="4"/>
        <w:keepNext w:val="0"/>
        <w:keepLines/>
        <w:pageBreakBefore w:val="0"/>
        <w:widowControl w:val="0"/>
        <w:kinsoku/>
        <w:wordWrap/>
        <w:overflowPunct/>
        <w:topLinePunct w:val="0"/>
        <w:autoSpaceDE/>
        <w:autoSpaceDN/>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E0678AD">
      <w:pPr>
        <w:pStyle w:val="4"/>
        <w:keepNext w:val="0"/>
        <w:keepLines/>
        <w:pageBreakBefore w:val="0"/>
        <w:widowControl w:val="0"/>
        <w:kinsoku/>
        <w:wordWrap/>
        <w:overflowPunct/>
        <w:topLinePunct w:val="0"/>
        <w:autoSpaceDE/>
        <w:autoSpaceDN/>
        <w:bidi w:val="0"/>
        <w:adjustRightInd/>
        <w:snapToGrid/>
        <w:spacing w:line="240" w:lineRule="auto"/>
        <w:ind w:firstLine="1922" w:firstLineChars="6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5086388">
      <w:pPr>
        <w:pStyle w:val="4"/>
        <w:keepNext w:val="0"/>
        <w:keepLines/>
        <w:pageBreakBefore w:val="0"/>
        <w:widowControl w:val="0"/>
        <w:kinsoku/>
        <w:wordWrap/>
        <w:overflowPunct/>
        <w:topLinePunct w:val="0"/>
        <w:autoSpaceDE/>
        <w:autoSpaceDN/>
        <w:bidi w:val="0"/>
        <w:adjustRightInd/>
        <w:snapToGrid/>
        <w:spacing w:line="240" w:lineRule="auto"/>
        <w:ind w:firstLine="1922" w:firstLineChars="600"/>
        <w:jc w:val="both"/>
        <w:textAlignment w:val="auto"/>
        <w:outlineLvl w:val="0"/>
        <w:rPr>
          <w:rFonts w:hint="eastAsia" w:ascii="华文楷体" w:hAnsi="华文楷体" w:eastAsia="华文楷体" w:cs="华文楷体"/>
          <w:color w:val="auto"/>
          <w:sz w:val="32"/>
          <w:szCs w:val="32"/>
          <w:highlight w:val="none"/>
        </w:rPr>
      </w:pPr>
      <w:bookmarkStart w:id="49" w:name="_Toc18795"/>
      <w:r>
        <w:rPr>
          <w:rFonts w:hint="eastAsia" w:ascii="华文楷体" w:hAnsi="华文楷体" w:eastAsia="华文楷体" w:cs="华文楷体"/>
          <w:b/>
          <w:color w:val="FF0000"/>
          <w:kern w:val="0"/>
          <w:sz w:val="32"/>
          <w:szCs w:val="32"/>
          <w:lang w:val="en-US" w:eastAsia="zh-CN" w:bidi="ar-SA"/>
        </w:rPr>
        <w:t>五、法定代表人（负责人）授权委托书</w:t>
      </w:r>
      <w:bookmarkEnd w:id="47"/>
      <w:bookmarkEnd w:id="48"/>
      <w:bookmarkEnd w:id="49"/>
    </w:p>
    <w:p w14:paraId="7EEE1862">
      <w:pPr>
        <w:keepNext w:val="0"/>
        <w:keepLines w:val="0"/>
        <w:pageBreakBefore w:val="0"/>
        <w:widowControl w:val="0"/>
        <w:wordWrap/>
        <w:topLinePunct w:val="0"/>
        <w:autoSpaceDE/>
        <w:autoSpaceDN/>
        <w:bidi w:val="0"/>
        <w:adjustRightInd/>
        <w:snapToGrid/>
        <w:spacing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安宁市第一人民医院金方院区水平衡测试项目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21"/>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21"/>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rPr>
        <w:t>特此委托。</w:t>
      </w:r>
    </w:p>
    <w:p w14:paraId="1D6E73C9">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p>
    <w:p w14:paraId="58CE32B7">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p>
    <w:p w14:paraId="136D3E16">
      <w:pPr>
        <w:pageBreakBefore w:val="0"/>
        <w:tabs>
          <w:tab w:val="left" w:pos="7834"/>
        </w:tabs>
        <w:topLinePunct w:val="0"/>
        <w:bidi w:val="0"/>
        <w:snapToGrid/>
        <w:spacing w:before="156" w:beforeLines="50"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val="en-US" w:eastAsia="zh-CN"/>
        </w:rPr>
        <w:t xml:space="preserve">                         </w:t>
      </w: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ind w:firstLine="5040" w:firstLineChars="2100"/>
        <w:jc w:val="both"/>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5928BE76">
      <w:pPr>
        <w:pStyle w:val="4"/>
        <w:pageBreakBefore w:val="0"/>
        <w:numPr>
          <w:ilvl w:val="0"/>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50" w:name="_Toc3594"/>
    </w:p>
    <w:p w14:paraId="21E05F07">
      <w:pPr>
        <w:pStyle w:val="4"/>
        <w:pageBreakBefore w:val="0"/>
        <w:numPr>
          <w:ilvl w:val="0"/>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p>
    <w:p w14:paraId="7F55B634">
      <w:pPr>
        <w:pStyle w:val="4"/>
        <w:keepNext w:val="0"/>
        <w:keepLines/>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278BF6A">
      <w:pPr>
        <w:pStyle w:val="4"/>
        <w:keepNext w:val="0"/>
        <w:keepLines/>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3576A5D">
      <w:pPr>
        <w:pStyle w:val="4"/>
        <w:keepNext w:val="0"/>
        <w:keepLines/>
        <w:pageBreakBefore w:val="0"/>
        <w:widowControl w:val="0"/>
        <w:numPr>
          <w:ilvl w:val="0"/>
          <w:numId w:val="0"/>
        </w:numPr>
        <w:kinsoku/>
        <w:wordWrap/>
        <w:overflowPunct/>
        <w:topLinePunct w:val="0"/>
        <w:autoSpaceDE/>
        <w:autoSpaceDN/>
        <w:bidi w:val="0"/>
        <w:adjustRightInd/>
        <w:snapToGrid/>
        <w:spacing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51" w:name="_Toc5806"/>
      <w:r>
        <w:rPr>
          <w:rFonts w:hint="eastAsia" w:ascii="华文楷体" w:hAnsi="华文楷体" w:eastAsia="华文楷体" w:cs="华文楷体"/>
          <w:b/>
          <w:color w:val="FF0000"/>
          <w:kern w:val="0"/>
          <w:sz w:val="32"/>
          <w:szCs w:val="32"/>
          <w:lang w:val="en-US" w:eastAsia="zh-CN" w:bidi="ar-SA"/>
        </w:rPr>
        <w:t>六、委托代理人社保缴纳证明</w:t>
      </w:r>
      <w:bookmarkEnd w:id="50"/>
      <w:bookmarkEnd w:id="51"/>
    </w:p>
    <w:p w14:paraId="40EC032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lang w:eastAsia="zh-CN"/>
        </w:rPr>
      </w:pPr>
      <w:r>
        <w:rPr>
          <w:rFonts w:hint="eastAsia" w:ascii="华文楷体" w:hAnsi="华文楷体" w:eastAsia="华文楷体" w:cs="华文楷体"/>
          <w:color w:val="auto"/>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2EE34AF3">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033B2430">
      <w:pPr>
        <w:pStyle w:val="5"/>
        <w:keepNext w:val="0"/>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52" w:name="_Toc22491"/>
      <w:bookmarkStart w:id="53" w:name="_Toc27506"/>
      <w:r>
        <w:rPr>
          <w:rFonts w:hint="eastAsia" w:ascii="华文楷体" w:hAnsi="华文楷体" w:eastAsia="华文楷体" w:cs="华文楷体"/>
          <w:b/>
          <w:color w:val="FF0000"/>
          <w:kern w:val="0"/>
          <w:sz w:val="32"/>
          <w:szCs w:val="32"/>
          <w:lang w:val="en-US" w:eastAsia="zh-CN" w:bidi="ar-SA"/>
        </w:rPr>
        <w:t>七、响应人资格文件</w:t>
      </w:r>
      <w:bookmarkEnd w:id="52"/>
      <w:bookmarkEnd w:id="53"/>
    </w:p>
    <w:p w14:paraId="0C2A7D48">
      <w:pPr>
        <w:pStyle w:val="20"/>
        <w:widowControl/>
        <w:spacing w:beforeAutospacing="0" w:afterAutospacing="0" w:line="560" w:lineRule="exact"/>
        <w:rPr>
          <w:rFonts w:hint="eastAsia" w:ascii="华文楷体" w:hAnsi="华文楷体" w:eastAsia="华文楷体" w:cs="华文楷体"/>
          <w:b w:val="0"/>
          <w:bCs w:val="0"/>
          <w:kern w:val="2"/>
          <w:sz w:val="24"/>
          <w:szCs w:val="24"/>
          <w:u w:val="none"/>
          <w:lang w:val="en-US" w:eastAsia="zh-CN" w:bidi="ar-SA"/>
        </w:rPr>
      </w:pPr>
      <w:bookmarkStart w:id="54" w:name="_Toc9085"/>
      <w:bookmarkStart w:id="55" w:name="_Toc15525"/>
      <w:r>
        <w:rPr>
          <w:rFonts w:hint="eastAsia" w:ascii="华文楷体" w:hAnsi="华文楷体" w:eastAsia="华文楷体" w:cs="华文楷体"/>
          <w:b w:val="0"/>
          <w:bCs w:val="0"/>
          <w:kern w:val="2"/>
          <w:sz w:val="24"/>
          <w:szCs w:val="24"/>
          <w:u w:val="none"/>
          <w:lang w:val="en-US" w:eastAsia="zh-CN" w:bidi="ar-SA"/>
        </w:rPr>
        <w:t>1、营业执照</w:t>
      </w:r>
      <w:bookmarkEnd w:id="54"/>
      <w:bookmarkEnd w:id="55"/>
      <w:r>
        <w:rPr>
          <w:rFonts w:hint="eastAsia" w:ascii="华文楷体" w:hAnsi="华文楷体" w:eastAsia="华文楷体" w:cs="华文楷体"/>
          <w:b w:val="0"/>
          <w:bCs w:val="0"/>
          <w:kern w:val="2"/>
          <w:sz w:val="24"/>
          <w:szCs w:val="24"/>
          <w:u w:val="none"/>
          <w:lang w:val="en-US" w:eastAsia="zh-CN" w:bidi="ar-SA"/>
        </w:rPr>
        <w:t>（三证合一）供应商营业执照：要求清晰反映企业法人经营范围，供应商有效的税务登记证供应商有效的组织机构代码证，以及其他资质文件。</w:t>
      </w:r>
    </w:p>
    <w:p w14:paraId="5BB03DCC">
      <w:pPr>
        <w:pStyle w:val="20"/>
        <w:widowControl/>
        <w:spacing w:beforeAutospacing="0" w:afterAutospacing="0" w:line="560" w:lineRule="exact"/>
        <w:rPr>
          <w:rFonts w:hint="default" w:ascii="华文楷体" w:hAnsi="华文楷体" w:eastAsia="华文楷体" w:cs="华文楷体"/>
          <w:b w:val="0"/>
          <w:bCs w:val="0"/>
          <w:kern w:val="2"/>
          <w:sz w:val="24"/>
          <w:szCs w:val="24"/>
          <w:u w:val="none"/>
          <w:lang w:val="en-US" w:eastAsia="zh-CN" w:bidi="ar-SA"/>
        </w:rPr>
      </w:pPr>
    </w:p>
    <w:p w14:paraId="495C47C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p>
    <w:p w14:paraId="77BCD0C2">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30A619DC">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6E2973F3">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3572CF77">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057613AC">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403FF1BF">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6EAF2B39">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19BC6C26">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38D49E5A">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25B730D2">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20C5F5D4">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053F7C64">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42DEE8B6">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49879921">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6EE725C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B85AA65">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A69DC60">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0F402906">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6E4AE45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2A5F8392">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1189D634">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02C7B88D">
      <w:pPr>
        <w:numPr>
          <w:ilvl w:val="0"/>
          <w:numId w:val="0"/>
        </w:numPr>
        <w:spacing w:before="101" w:line="223" w:lineRule="auto"/>
        <w:ind w:firstLine="3203" w:firstLineChars="1000"/>
        <w:jc w:val="both"/>
        <w:outlineLvl w:val="1"/>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八、项目实施方案</w:t>
      </w:r>
    </w:p>
    <w:p w14:paraId="77DD048E">
      <w:pPr>
        <w:numPr>
          <w:ilvl w:val="0"/>
          <w:numId w:val="0"/>
        </w:numPr>
        <w:spacing w:before="101" w:line="223" w:lineRule="auto"/>
        <w:ind w:firstLine="3920" w:firstLineChars="1400"/>
        <w:jc w:val="both"/>
        <w:outlineLvl w:val="1"/>
        <w:rPr>
          <w:rFonts w:hint="eastAsia" w:ascii="华文楷体" w:hAnsi="华文楷体" w:eastAsia="华文楷体" w:cs="华文楷体"/>
          <w:b w:val="0"/>
          <w:bCs/>
          <w:color w:val="auto"/>
          <w:kern w:val="0"/>
          <w:sz w:val="28"/>
          <w:szCs w:val="28"/>
          <w:lang w:val="en-US" w:eastAsia="zh-CN" w:bidi="ar-SA"/>
        </w:rPr>
      </w:pPr>
      <w:r>
        <w:rPr>
          <w:rFonts w:hint="eastAsia" w:ascii="华文楷体" w:hAnsi="华文楷体" w:eastAsia="华文楷体" w:cs="华文楷体"/>
          <w:b w:val="0"/>
          <w:bCs/>
          <w:color w:val="auto"/>
          <w:kern w:val="0"/>
          <w:sz w:val="28"/>
          <w:szCs w:val="28"/>
          <w:lang w:val="en-US" w:eastAsia="zh-CN" w:bidi="ar-SA"/>
        </w:rPr>
        <w:t>（格式自拟）</w:t>
      </w:r>
    </w:p>
    <w:p w14:paraId="6B65136A">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7EE315BB">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7174B0E0">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5A09A790">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14A6AA03">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47D54B34">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52B7BFB5">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26BA04C2">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2782CCC9">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563B73EA">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3E4A7A9F">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2087FAF7">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2527A516">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7F784257">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66D75B4C">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6738A16A">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24B7EE93">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1748C520">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36A25607">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187D4627">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67F246EA">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27C82CD1">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4C65B89B">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4B6D8460">
      <w:pPr>
        <w:numPr>
          <w:ilvl w:val="0"/>
          <w:numId w:val="0"/>
        </w:numPr>
        <w:spacing w:before="101" w:line="223" w:lineRule="auto"/>
        <w:ind w:firstLine="3524" w:firstLineChars="1100"/>
        <w:jc w:val="both"/>
        <w:outlineLvl w:val="1"/>
        <w:rPr>
          <w:rFonts w:hint="eastAsia" w:ascii="华文楷体" w:hAnsi="华文楷体" w:eastAsia="华文楷体" w:cs="华文楷体"/>
          <w:b/>
          <w:color w:val="FF0000"/>
          <w:kern w:val="0"/>
          <w:sz w:val="32"/>
          <w:szCs w:val="32"/>
          <w:lang w:val="en-US" w:eastAsia="zh-CN" w:bidi="ar-SA"/>
        </w:rPr>
      </w:pPr>
    </w:p>
    <w:p w14:paraId="7EB628E4">
      <w:pPr>
        <w:numPr>
          <w:ilvl w:val="0"/>
          <w:numId w:val="0"/>
        </w:numPr>
        <w:spacing w:before="101" w:line="223" w:lineRule="auto"/>
        <w:ind w:firstLine="2242" w:firstLineChars="700"/>
        <w:jc w:val="both"/>
        <w:outlineLvl w:val="1"/>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九、服务质量承诺及保证措施</w:t>
      </w:r>
    </w:p>
    <w:p w14:paraId="799DF8C1">
      <w:pPr>
        <w:numPr>
          <w:ilvl w:val="0"/>
          <w:numId w:val="0"/>
        </w:numPr>
        <w:spacing w:before="101" w:line="223" w:lineRule="auto"/>
        <w:ind w:firstLine="3360" w:firstLineChars="1200"/>
        <w:jc w:val="both"/>
        <w:outlineLvl w:val="1"/>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val="0"/>
          <w:bCs/>
          <w:color w:val="auto"/>
          <w:kern w:val="0"/>
          <w:sz w:val="28"/>
          <w:szCs w:val="28"/>
          <w:lang w:val="en-US" w:eastAsia="zh-CN" w:bidi="ar-SA"/>
        </w:rPr>
        <w:t>（格式自拟）</w:t>
      </w:r>
    </w:p>
    <w:p w14:paraId="7AADA12C">
      <w:pPr>
        <w:pStyle w:val="9"/>
        <w:spacing w:line="257" w:lineRule="auto"/>
      </w:pPr>
    </w:p>
    <w:p w14:paraId="0BFD0F4E">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A99A537">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2AB83E1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37BE4736">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2E7A6028">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7CFD222C">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012A228A">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3ADCBDB8">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1EB2C8C1">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0A3FF138">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0C2BB655">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6A52076B">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03167FED">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5F15A30">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78B6F3C1">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2E5F0843">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1DE9248A">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50D0149">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382A3F2A">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15F0F015">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06B2B4C4">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2857BDED">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1E3F193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7E8F2BB7">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十、项目人员配备方案</w:t>
      </w:r>
    </w:p>
    <w:tbl>
      <w:tblPr>
        <w:tblStyle w:val="33"/>
        <w:tblW w:w="9545" w:type="dxa"/>
        <w:tblInd w:w="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3"/>
        <w:gridCol w:w="676"/>
        <w:gridCol w:w="823"/>
        <w:gridCol w:w="824"/>
        <w:gridCol w:w="1324"/>
        <w:gridCol w:w="1645"/>
        <w:gridCol w:w="2001"/>
        <w:gridCol w:w="1069"/>
      </w:tblGrid>
      <w:tr w14:paraId="48496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83" w:type="dxa"/>
            <w:vAlign w:val="top"/>
          </w:tcPr>
          <w:p w14:paraId="72DB09E2">
            <w:pPr>
              <w:pStyle w:val="32"/>
              <w:spacing w:before="111" w:line="228" w:lineRule="auto"/>
              <w:ind w:left="386"/>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姓名</w:t>
            </w:r>
          </w:p>
        </w:tc>
        <w:tc>
          <w:tcPr>
            <w:tcW w:w="676" w:type="dxa"/>
            <w:vAlign w:val="top"/>
          </w:tcPr>
          <w:p w14:paraId="4D69FF56">
            <w:pPr>
              <w:pStyle w:val="32"/>
              <w:spacing w:before="111" w:line="229" w:lineRule="auto"/>
              <w:ind w:left="132"/>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性别</w:t>
            </w:r>
          </w:p>
        </w:tc>
        <w:tc>
          <w:tcPr>
            <w:tcW w:w="823" w:type="dxa"/>
            <w:vAlign w:val="top"/>
          </w:tcPr>
          <w:p w14:paraId="4A1B6288">
            <w:pPr>
              <w:pStyle w:val="32"/>
              <w:spacing w:before="111" w:line="228" w:lineRule="auto"/>
              <w:ind w:left="205"/>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年龄</w:t>
            </w:r>
          </w:p>
        </w:tc>
        <w:tc>
          <w:tcPr>
            <w:tcW w:w="824" w:type="dxa"/>
            <w:vAlign w:val="top"/>
          </w:tcPr>
          <w:p w14:paraId="1CA9CD82">
            <w:pPr>
              <w:pStyle w:val="32"/>
              <w:spacing w:before="111" w:line="228" w:lineRule="auto"/>
              <w:ind w:left="208"/>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职务</w:t>
            </w:r>
          </w:p>
        </w:tc>
        <w:tc>
          <w:tcPr>
            <w:tcW w:w="1324" w:type="dxa"/>
            <w:vAlign w:val="top"/>
          </w:tcPr>
          <w:p w14:paraId="4E7CD400">
            <w:pPr>
              <w:pStyle w:val="32"/>
              <w:spacing w:before="111" w:line="228" w:lineRule="auto"/>
              <w:ind w:left="248"/>
              <w:rPr>
                <w:rFonts w:hint="eastAsia" w:ascii="华文楷体" w:hAnsi="华文楷体" w:eastAsia="华文楷体" w:cs="华文楷体"/>
                <w:sz w:val="20"/>
                <w:szCs w:val="20"/>
              </w:rPr>
            </w:pPr>
            <w:r>
              <w:rPr>
                <w:rFonts w:hint="eastAsia" w:ascii="华文楷体" w:hAnsi="华文楷体" w:eastAsia="华文楷体" w:cs="华文楷体"/>
                <w:spacing w:val="7"/>
                <w:sz w:val="20"/>
                <w:szCs w:val="20"/>
              </w:rPr>
              <w:t>技术职称</w:t>
            </w:r>
          </w:p>
        </w:tc>
        <w:tc>
          <w:tcPr>
            <w:tcW w:w="1645" w:type="dxa"/>
            <w:vAlign w:val="top"/>
          </w:tcPr>
          <w:p w14:paraId="25048EE4">
            <w:pPr>
              <w:pStyle w:val="32"/>
              <w:spacing w:before="110" w:line="228" w:lineRule="auto"/>
              <w:ind w:left="94"/>
              <w:rPr>
                <w:rFonts w:hint="eastAsia" w:ascii="华文楷体" w:hAnsi="华文楷体" w:eastAsia="华文楷体" w:cs="华文楷体"/>
                <w:sz w:val="20"/>
                <w:szCs w:val="20"/>
              </w:rPr>
            </w:pPr>
            <w:r>
              <w:rPr>
                <w:rFonts w:hint="eastAsia" w:ascii="华文楷体" w:hAnsi="华文楷体" w:eastAsia="华文楷体" w:cs="华文楷体"/>
                <w:spacing w:val="8"/>
                <w:sz w:val="20"/>
                <w:szCs w:val="20"/>
              </w:rPr>
              <w:t>所持证书及编号</w:t>
            </w:r>
          </w:p>
        </w:tc>
        <w:tc>
          <w:tcPr>
            <w:tcW w:w="2001" w:type="dxa"/>
            <w:vAlign w:val="top"/>
          </w:tcPr>
          <w:p w14:paraId="4CF93CD3">
            <w:pPr>
              <w:pStyle w:val="32"/>
              <w:spacing w:before="110" w:line="228" w:lineRule="auto"/>
              <w:ind w:left="34"/>
              <w:rPr>
                <w:rFonts w:hint="eastAsia" w:ascii="华文楷体" w:hAnsi="华文楷体" w:eastAsia="华文楷体" w:cs="华文楷体"/>
                <w:sz w:val="20"/>
                <w:szCs w:val="20"/>
              </w:rPr>
            </w:pPr>
            <w:r>
              <w:rPr>
                <w:rFonts w:hint="eastAsia" w:ascii="华文楷体" w:hAnsi="华文楷体" w:eastAsia="华文楷体" w:cs="华文楷体"/>
                <w:spacing w:val="8"/>
                <w:sz w:val="20"/>
                <w:szCs w:val="20"/>
              </w:rPr>
              <w:t>本项目中拟担任职务</w:t>
            </w:r>
          </w:p>
        </w:tc>
        <w:tc>
          <w:tcPr>
            <w:tcW w:w="1069" w:type="dxa"/>
            <w:vAlign w:val="top"/>
          </w:tcPr>
          <w:p w14:paraId="70EAEC57">
            <w:pPr>
              <w:pStyle w:val="32"/>
              <w:spacing w:before="110" w:line="230" w:lineRule="auto"/>
              <w:ind w:left="332"/>
              <w:rPr>
                <w:rFonts w:hint="eastAsia" w:ascii="华文楷体" w:hAnsi="华文楷体" w:eastAsia="华文楷体" w:cs="华文楷体"/>
                <w:sz w:val="20"/>
                <w:szCs w:val="20"/>
              </w:rPr>
            </w:pPr>
            <w:r>
              <w:rPr>
                <w:rFonts w:hint="eastAsia" w:ascii="华文楷体" w:hAnsi="华文楷体" w:eastAsia="华文楷体" w:cs="华文楷体"/>
                <w:spacing w:val="3"/>
                <w:sz w:val="20"/>
                <w:szCs w:val="20"/>
              </w:rPr>
              <w:t>备注</w:t>
            </w:r>
          </w:p>
        </w:tc>
      </w:tr>
      <w:tr w14:paraId="5D94C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4AAFE142">
            <w:pPr>
              <w:rPr>
                <w:rFonts w:hint="eastAsia" w:ascii="华文楷体" w:hAnsi="华文楷体" w:eastAsia="华文楷体" w:cs="华文楷体"/>
                <w:sz w:val="21"/>
              </w:rPr>
            </w:pPr>
          </w:p>
        </w:tc>
        <w:tc>
          <w:tcPr>
            <w:tcW w:w="676" w:type="dxa"/>
            <w:vAlign w:val="top"/>
          </w:tcPr>
          <w:p w14:paraId="01CDE521">
            <w:pPr>
              <w:rPr>
                <w:rFonts w:hint="eastAsia" w:ascii="华文楷体" w:hAnsi="华文楷体" w:eastAsia="华文楷体" w:cs="华文楷体"/>
                <w:sz w:val="21"/>
              </w:rPr>
            </w:pPr>
          </w:p>
        </w:tc>
        <w:tc>
          <w:tcPr>
            <w:tcW w:w="823" w:type="dxa"/>
            <w:vAlign w:val="top"/>
          </w:tcPr>
          <w:p w14:paraId="5D62D267">
            <w:pPr>
              <w:rPr>
                <w:rFonts w:hint="eastAsia" w:ascii="华文楷体" w:hAnsi="华文楷体" w:eastAsia="华文楷体" w:cs="华文楷体"/>
                <w:sz w:val="21"/>
              </w:rPr>
            </w:pPr>
          </w:p>
        </w:tc>
        <w:tc>
          <w:tcPr>
            <w:tcW w:w="824" w:type="dxa"/>
            <w:vAlign w:val="top"/>
          </w:tcPr>
          <w:p w14:paraId="5944DB3D">
            <w:pPr>
              <w:rPr>
                <w:rFonts w:hint="eastAsia" w:ascii="华文楷体" w:hAnsi="华文楷体" w:eastAsia="华文楷体" w:cs="华文楷体"/>
                <w:sz w:val="21"/>
              </w:rPr>
            </w:pPr>
          </w:p>
        </w:tc>
        <w:tc>
          <w:tcPr>
            <w:tcW w:w="1324" w:type="dxa"/>
            <w:vAlign w:val="top"/>
          </w:tcPr>
          <w:p w14:paraId="033C0D6F">
            <w:pPr>
              <w:rPr>
                <w:rFonts w:hint="eastAsia" w:ascii="华文楷体" w:hAnsi="华文楷体" w:eastAsia="华文楷体" w:cs="华文楷体"/>
                <w:sz w:val="21"/>
              </w:rPr>
            </w:pPr>
          </w:p>
        </w:tc>
        <w:tc>
          <w:tcPr>
            <w:tcW w:w="1645" w:type="dxa"/>
            <w:vAlign w:val="top"/>
          </w:tcPr>
          <w:p w14:paraId="5FE3536F">
            <w:pPr>
              <w:rPr>
                <w:rFonts w:hint="eastAsia" w:ascii="华文楷体" w:hAnsi="华文楷体" w:eastAsia="华文楷体" w:cs="华文楷体"/>
                <w:sz w:val="21"/>
              </w:rPr>
            </w:pPr>
          </w:p>
        </w:tc>
        <w:tc>
          <w:tcPr>
            <w:tcW w:w="2001" w:type="dxa"/>
            <w:vAlign w:val="top"/>
          </w:tcPr>
          <w:p w14:paraId="6988B50C">
            <w:pPr>
              <w:rPr>
                <w:rFonts w:hint="eastAsia" w:ascii="华文楷体" w:hAnsi="华文楷体" w:eastAsia="华文楷体" w:cs="华文楷体"/>
                <w:sz w:val="21"/>
              </w:rPr>
            </w:pPr>
          </w:p>
        </w:tc>
        <w:tc>
          <w:tcPr>
            <w:tcW w:w="1069" w:type="dxa"/>
            <w:vAlign w:val="top"/>
          </w:tcPr>
          <w:p w14:paraId="3BEF321F">
            <w:pPr>
              <w:rPr>
                <w:rFonts w:hint="eastAsia" w:ascii="华文楷体" w:hAnsi="华文楷体" w:eastAsia="华文楷体" w:cs="华文楷体"/>
                <w:sz w:val="21"/>
              </w:rPr>
            </w:pPr>
          </w:p>
        </w:tc>
      </w:tr>
      <w:tr w14:paraId="67B26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2C6EBDAB">
            <w:pPr>
              <w:rPr>
                <w:rFonts w:hint="eastAsia" w:ascii="华文楷体" w:hAnsi="华文楷体" w:eastAsia="华文楷体" w:cs="华文楷体"/>
                <w:sz w:val="21"/>
              </w:rPr>
            </w:pPr>
          </w:p>
        </w:tc>
        <w:tc>
          <w:tcPr>
            <w:tcW w:w="676" w:type="dxa"/>
            <w:vAlign w:val="top"/>
          </w:tcPr>
          <w:p w14:paraId="3AFC856A">
            <w:pPr>
              <w:rPr>
                <w:rFonts w:hint="eastAsia" w:ascii="华文楷体" w:hAnsi="华文楷体" w:eastAsia="华文楷体" w:cs="华文楷体"/>
                <w:sz w:val="21"/>
              </w:rPr>
            </w:pPr>
          </w:p>
        </w:tc>
        <w:tc>
          <w:tcPr>
            <w:tcW w:w="823" w:type="dxa"/>
            <w:vAlign w:val="top"/>
          </w:tcPr>
          <w:p w14:paraId="1799F818">
            <w:pPr>
              <w:rPr>
                <w:rFonts w:hint="eastAsia" w:ascii="华文楷体" w:hAnsi="华文楷体" w:eastAsia="华文楷体" w:cs="华文楷体"/>
                <w:sz w:val="21"/>
              </w:rPr>
            </w:pPr>
          </w:p>
        </w:tc>
        <w:tc>
          <w:tcPr>
            <w:tcW w:w="824" w:type="dxa"/>
            <w:vAlign w:val="top"/>
          </w:tcPr>
          <w:p w14:paraId="7C84E0E6">
            <w:pPr>
              <w:rPr>
                <w:rFonts w:hint="eastAsia" w:ascii="华文楷体" w:hAnsi="华文楷体" w:eastAsia="华文楷体" w:cs="华文楷体"/>
                <w:sz w:val="21"/>
              </w:rPr>
            </w:pPr>
          </w:p>
        </w:tc>
        <w:tc>
          <w:tcPr>
            <w:tcW w:w="1324" w:type="dxa"/>
            <w:vAlign w:val="top"/>
          </w:tcPr>
          <w:p w14:paraId="7D085350">
            <w:pPr>
              <w:rPr>
                <w:rFonts w:hint="eastAsia" w:ascii="华文楷体" w:hAnsi="华文楷体" w:eastAsia="华文楷体" w:cs="华文楷体"/>
                <w:sz w:val="21"/>
              </w:rPr>
            </w:pPr>
          </w:p>
        </w:tc>
        <w:tc>
          <w:tcPr>
            <w:tcW w:w="1645" w:type="dxa"/>
            <w:vAlign w:val="top"/>
          </w:tcPr>
          <w:p w14:paraId="372F95F8">
            <w:pPr>
              <w:rPr>
                <w:rFonts w:hint="eastAsia" w:ascii="华文楷体" w:hAnsi="华文楷体" w:eastAsia="华文楷体" w:cs="华文楷体"/>
                <w:sz w:val="21"/>
              </w:rPr>
            </w:pPr>
          </w:p>
        </w:tc>
        <w:tc>
          <w:tcPr>
            <w:tcW w:w="2001" w:type="dxa"/>
            <w:vAlign w:val="top"/>
          </w:tcPr>
          <w:p w14:paraId="1738B4BD">
            <w:pPr>
              <w:rPr>
                <w:rFonts w:hint="eastAsia" w:ascii="华文楷体" w:hAnsi="华文楷体" w:eastAsia="华文楷体" w:cs="华文楷体"/>
                <w:sz w:val="21"/>
              </w:rPr>
            </w:pPr>
          </w:p>
        </w:tc>
        <w:tc>
          <w:tcPr>
            <w:tcW w:w="1069" w:type="dxa"/>
            <w:vAlign w:val="top"/>
          </w:tcPr>
          <w:p w14:paraId="5E346B37">
            <w:pPr>
              <w:rPr>
                <w:rFonts w:hint="eastAsia" w:ascii="华文楷体" w:hAnsi="华文楷体" w:eastAsia="华文楷体" w:cs="华文楷体"/>
                <w:sz w:val="21"/>
              </w:rPr>
            </w:pPr>
          </w:p>
        </w:tc>
      </w:tr>
      <w:tr w14:paraId="29328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0FBF6CE8">
            <w:pPr>
              <w:rPr>
                <w:rFonts w:hint="eastAsia" w:ascii="华文楷体" w:hAnsi="华文楷体" w:eastAsia="华文楷体" w:cs="华文楷体"/>
                <w:sz w:val="21"/>
              </w:rPr>
            </w:pPr>
          </w:p>
        </w:tc>
        <w:tc>
          <w:tcPr>
            <w:tcW w:w="676" w:type="dxa"/>
            <w:vAlign w:val="top"/>
          </w:tcPr>
          <w:p w14:paraId="4CDE1B96">
            <w:pPr>
              <w:rPr>
                <w:rFonts w:hint="eastAsia" w:ascii="华文楷体" w:hAnsi="华文楷体" w:eastAsia="华文楷体" w:cs="华文楷体"/>
                <w:sz w:val="21"/>
              </w:rPr>
            </w:pPr>
          </w:p>
        </w:tc>
        <w:tc>
          <w:tcPr>
            <w:tcW w:w="823" w:type="dxa"/>
            <w:vAlign w:val="top"/>
          </w:tcPr>
          <w:p w14:paraId="44235EEC">
            <w:pPr>
              <w:rPr>
                <w:rFonts w:hint="eastAsia" w:ascii="华文楷体" w:hAnsi="华文楷体" w:eastAsia="华文楷体" w:cs="华文楷体"/>
                <w:sz w:val="21"/>
              </w:rPr>
            </w:pPr>
          </w:p>
        </w:tc>
        <w:tc>
          <w:tcPr>
            <w:tcW w:w="824" w:type="dxa"/>
            <w:vAlign w:val="top"/>
          </w:tcPr>
          <w:p w14:paraId="34020D8F">
            <w:pPr>
              <w:rPr>
                <w:rFonts w:hint="eastAsia" w:ascii="华文楷体" w:hAnsi="华文楷体" w:eastAsia="华文楷体" w:cs="华文楷体"/>
                <w:sz w:val="21"/>
              </w:rPr>
            </w:pPr>
          </w:p>
        </w:tc>
        <w:tc>
          <w:tcPr>
            <w:tcW w:w="1324" w:type="dxa"/>
            <w:vAlign w:val="top"/>
          </w:tcPr>
          <w:p w14:paraId="5989D386">
            <w:pPr>
              <w:rPr>
                <w:rFonts w:hint="eastAsia" w:ascii="华文楷体" w:hAnsi="华文楷体" w:eastAsia="华文楷体" w:cs="华文楷体"/>
                <w:sz w:val="21"/>
              </w:rPr>
            </w:pPr>
          </w:p>
        </w:tc>
        <w:tc>
          <w:tcPr>
            <w:tcW w:w="1645" w:type="dxa"/>
            <w:vAlign w:val="top"/>
          </w:tcPr>
          <w:p w14:paraId="7684ABF3">
            <w:pPr>
              <w:rPr>
                <w:rFonts w:hint="eastAsia" w:ascii="华文楷体" w:hAnsi="华文楷体" w:eastAsia="华文楷体" w:cs="华文楷体"/>
                <w:sz w:val="21"/>
              </w:rPr>
            </w:pPr>
          </w:p>
        </w:tc>
        <w:tc>
          <w:tcPr>
            <w:tcW w:w="2001" w:type="dxa"/>
            <w:vAlign w:val="top"/>
          </w:tcPr>
          <w:p w14:paraId="4DD78678">
            <w:pPr>
              <w:rPr>
                <w:rFonts w:hint="eastAsia" w:ascii="华文楷体" w:hAnsi="华文楷体" w:eastAsia="华文楷体" w:cs="华文楷体"/>
                <w:sz w:val="21"/>
              </w:rPr>
            </w:pPr>
          </w:p>
        </w:tc>
        <w:tc>
          <w:tcPr>
            <w:tcW w:w="1069" w:type="dxa"/>
            <w:vAlign w:val="top"/>
          </w:tcPr>
          <w:p w14:paraId="3786A9AF">
            <w:pPr>
              <w:rPr>
                <w:rFonts w:hint="eastAsia" w:ascii="华文楷体" w:hAnsi="华文楷体" w:eastAsia="华文楷体" w:cs="华文楷体"/>
                <w:sz w:val="21"/>
              </w:rPr>
            </w:pPr>
          </w:p>
        </w:tc>
      </w:tr>
      <w:tr w14:paraId="0D459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5438DE41">
            <w:pPr>
              <w:rPr>
                <w:rFonts w:hint="eastAsia" w:ascii="华文楷体" w:hAnsi="华文楷体" w:eastAsia="华文楷体" w:cs="华文楷体"/>
                <w:sz w:val="21"/>
              </w:rPr>
            </w:pPr>
          </w:p>
        </w:tc>
        <w:tc>
          <w:tcPr>
            <w:tcW w:w="676" w:type="dxa"/>
            <w:vAlign w:val="top"/>
          </w:tcPr>
          <w:p w14:paraId="6862C883">
            <w:pPr>
              <w:rPr>
                <w:rFonts w:hint="eastAsia" w:ascii="华文楷体" w:hAnsi="华文楷体" w:eastAsia="华文楷体" w:cs="华文楷体"/>
                <w:sz w:val="21"/>
              </w:rPr>
            </w:pPr>
          </w:p>
        </w:tc>
        <w:tc>
          <w:tcPr>
            <w:tcW w:w="823" w:type="dxa"/>
            <w:vAlign w:val="top"/>
          </w:tcPr>
          <w:p w14:paraId="709E2E55">
            <w:pPr>
              <w:rPr>
                <w:rFonts w:hint="eastAsia" w:ascii="华文楷体" w:hAnsi="华文楷体" w:eastAsia="华文楷体" w:cs="华文楷体"/>
                <w:sz w:val="21"/>
              </w:rPr>
            </w:pPr>
          </w:p>
        </w:tc>
        <w:tc>
          <w:tcPr>
            <w:tcW w:w="824" w:type="dxa"/>
            <w:vAlign w:val="top"/>
          </w:tcPr>
          <w:p w14:paraId="4086FC21">
            <w:pPr>
              <w:rPr>
                <w:rFonts w:hint="eastAsia" w:ascii="华文楷体" w:hAnsi="华文楷体" w:eastAsia="华文楷体" w:cs="华文楷体"/>
                <w:sz w:val="21"/>
              </w:rPr>
            </w:pPr>
          </w:p>
        </w:tc>
        <w:tc>
          <w:tcPr>
            <w:tcW w:w="1324" w:type="dxa"/>
            <w:vAlign w:val="top"/>
          </w:tcPr>
          <w:p w14:paraId="285AFBDF">
            <w:pPr>
              <w:rPr>
                <w:rFonts w:hint="eastAsia" w:ascii="华文楷体" w:hAnsi="华文楷体" w:eastAsia="华文楷体" w:cs="华文楷体"/>
                <w:sz w:val="21"/>
              </w:rPr>
            </w:pPr>
          </w:p>
        </w:tc>
        <w:tc>
          <w:tcPr>
            <w:tcW w:w="1645" w:type="dxa"/>
            <w:vAlign w:val="top"/>
          </w:tcPr>
          <w:p w14:paraId="2C1F1E6B">
            <w:pPr>
              <w:rPr>
                <w:rFonts w:hint="eastAsia" w:ascii="华文楷体" w:hAnsi="华文楷体" w:eastAsia="华文楷体" w:cs="华文楷体"/>
                <w:sz w:val="21"/>
              </w:rPr>
            </w:pPr>
          </w:p>
        </w:tc>
        <w:tc>
          <w:tcPr>
            <w:tcW w:w="2001" w:type="dxa"/>
            <w:vAlign w:val="top"/>
          </w:tcPr>
          <w:p w14:paraId="712AAB52">
            <w:pPr>
              <w:rPr>
                <w:rFonts w:hint="eastAsia" w:ascii="华文楷体" w:hAnsi="华文楷体" w:eastAsia="华文楷体" w:cs="华文楷体"/>
                <w:sz w:val="21"/>
              </w:rPr>
            </w:pPr>
          </w:p>
        </w:tc>
        <w:tc>
          <w:tcPr>
            <w:tcW w:w="1069" w:type="dxa"/>
            <w:vAlign w:val="top"/>
          </w:tcPr>
          <w:p w14:paraId="4943DF94">
            <w:pPr>
              <w:rPr>
                <w:rFonts w:hint="eastAsia" w:ascii="华文楷体" w:hAnsi="华文楷体" w:eastAsia="华文楷体" w:cs="华文楷体"/>
                <w:sz w:val="21"/>
              </w:rPr>
            </w:pPr>
          </w:p>
        </w:tc>
      </w:tr>
      <w:tr w14:paraId="24210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83" w:type="dxa"/>
            <w:vAlign w:val="top"/>
          </w:tcPr>
          <w:p w14:paraId="73F25047">
            <w:pPr>
              <w:rPr>
                <w:rFonts w:hint="eastAsia" w:ascii="华文楷体" w:hAnsi="华文楷体" w:eastAsia="华文楷体" w:cs="华文楷体"/>
                <w:sz w:val="21"/>
              </w:rPr>
            </w:pPr>
          </w:p>
        </w:tc>
        <w:tc>
          <w:tcPr>
            <w:tcW w:w="676" w:type="dxa"/>
            <w:vAlign w:val="top"/>
          </w:tcPr>
          <w:p w14:paraId="0D125F77">
            <w:pPr>
              <w:rPr>
                <w:rFonts w:hint="eastAsia" w:ascii="华文楷体" w:hAnsi="华文楷体" w:eastAsia="华文楷体" w:cs="华文楷体"/>
                <w:sz w:val="21"/>
              </w:rPr>
            </w:pPr>
          </w:p>
        </w:tc>
        <w:tc>
          <w:tcPr>
            <w:tcW w:w="823" w:type="dxa"/>
            <w:vAlign w:val="top"/>
          </w:tcPr>
          <w:p w14:paraId="39E14B0F">
            <w:pPr>
              <w:rPr>
                <w:rFonts w:hint="eastAsia" w:ascii="华文楷体" w:hAnsi="华文楷体" w:eastAsia="华文楷体" w:cs="华文楷体"/>
                <w:sz w:val="21"/>
              </w:rPr>
            </w:pPr>
          </w:p>
        </w:tc>
        <w:tc>
          <w:tcPr>
            <w:tcW w:w="824" w:type="dxa"/>
            <w:vAlign w:val="top"/>
          </w:tcPr>
          <w:p w14:paraId="170B78D1">
            <w:pPr>
              <w:rPr>
                <w:rFonts w:hint="eastAsia" w:ascii="华文楷体" w:hAnsi="华文楷体" w:eastAsia="华文楷体" w:cs="华文楷体"/>
                <w:sz w:val="21"/>
              </w:rPr>
            </w:pPr>
          </w:p>
        </w:tc>
        <w:tc>
          <w:tcPr>
            <w:tcW w:w="1324" w:type="dxa"/>
            <w:vAlign w:val="top"/>
          </w:tcPr>
          <w:p w14:paraId="19F4CE62">
            <w:pPr>
              <w:rPr>
                <w:rFonts w:hint="eastAsia" w:ascii="华文楷体" w:hAnsi="华文楷体" w:eastAsia="华文楷体" w:cs="华文楷体"/>
                <w:sz w:val="21"/>
              </w:rPr>
            </w:pPr>
          </w:p>
        </w:tc>
        <w:tc>
          <w:tcPr>
            <w:tcW w:w="1645" w:type="dxa"/>
            <w:vAlign w:val="top"/>
          </w:tcPr>
          <w:p w14:paraId="75A0AB8D">
            <w:pPr>
              <w:rPr>
                <w:rFonts w:hint="eastAsia" w:ascii="华文楷体" w:hAnsi="华文楷体" w:eastAsia="华文楷体" w:cs="华文楷体"/>
                <w:sz w:val="21"/>
              </w:rPr>
            </w:pPr>
          </w:p>
        </w:tc>
        <w:tc>
          <w:tcPr>
            <w:tcW w:w="2001" w:type="dxa"/>
            <w:vAlign w:val="top"/>
          </w:tcPr>
          <w:p w14:paraId="6A0FEE33">
            <w:pPr>
              <w:rPr>
                <w:rFonts w:hint="eastAsia" w:ascii="华文楷体" w:hAnsi="华文楷体" w:eastAsia="华文楷体" w:cs="华文楷体"/>
                <w:sz w:val="21"/>
              </w:rPr>
            </w:pPr>
          </w:p>
        </w:tc>
        <w:tc>
          <w:tcPr>
            <w:tcW w:w="1069" w:type="dxa"/>
            <w:vAlign w:val="top"/>
          </w:tcPr>
          <w:p w14:paraId="20A86967">
            <w:pPr>
              <w:rPr>
                <w:rFonts w:hint="eastAsia" w:ascii="华文楷体" w:hAnsi="华文楷体" w:eastAsia="华文楷体" w:cs="华文楷体"/>
                <w:sz w:val="21"/>
              </w:rPr>
            </w:pPr>
          </w:p>
        </w:tc>
      </w:tr>
    </w:tbl>
    <w:p w14:paraId="02BE6CB5">
      <w:pPr>
        <w:spacing w:before="73" w:line="228" w:lineRule="auto"/>
        <w:ind w:left="376"/>
        <w:rPr>
          <w:rFonts w:hint="eastAsia" w:ascii="华文楷体" w:hAnsi="华文楷体" w:eastAsia="华文楷体" w:cs="华文楷体"/>
          <w:sz w:val="20"/>
          <w:szCs w:val="20"/>
        </w:rPr>
      </w:pPr>
      <w:r>
        <w:rPr>
          <w:rFonts w:hint="eastAsia" w:ascii="华文楷体" w:hAnsi="华文楷体" w:eastAsia="华文楷体" w:cs="华文楷体"/>
          <w:b/>
          <w:bCs/>
          <w:spacing w:val="8"/>
          <w:sz w:val="20"/>
          <w:szCs w:val="20"/>
        </w:rPr>
        <w:t>注：1、附人员的身份证、职称证或注册证证书、劳动合同及社</w:t>
      </w:r>
      <w:r>
        <w:rPr>
          <w:rFonts w:hint="eastAsia" w:ascii="华文楷体" w:hAnsi="华文楷体" w:eastAsia="华文楷体" w:cs="华文楷体"/>
          <w:b/>
          <w:bCs/>
          <w:spacing w:val="7"/>
          <w:sz w:val="20"/>
          <w:szCs w:val="20"/>
        </w:rPr>
        <w:t>保证明材料（如有）。</w:t>
      </w:r>
    </w:p>
    <w:p w14:paraId="6B9A0D13">
      <w:pPr>
        <w:pStyle w:val="9"/>
        <w:spacing w:line="245" w:lineRule="auto"/>
        <w:rPr>
          <w:rFonts w:hint="eastAsia" w:ascii="华文楷体" w:hAnsi="华文楷体" w:eastAsia="华文楷体" w:cs="华文楷体"/>
        </w:rPr>
      </w:pPr>
    </w:p>
    <w:p w14:paraId="561020BE">
      <w:pPr>
        <w:spacing w:before="65" w:line="228" w:lineRule="auto"/>
        <w:ind w:left="379"/>
        <w:rPr>
          <w:rFonts w:hint="eastAsia" w:ascii="华文楷体" w:hAnsi="华文楷体" w:eastAsia="华文楷体" w:cs="华文楷体"/>
          <w:sz w:val="20"/>
          <w:szCs w:val="20"/>
        </w:rPr>
      </w:pPr>
      <w:r>
        <w:rPr>
          <w:rFonts w:hint="eastAsia" w:ascii="华文楷体" w:hAnsi="华文楷体" w:eastAsia="华文楷体" w:cs="华文楷体"/>
          <w:b/>
          <w:bCs/>
          <w:spacing w:val="8"/>
          <w:sz w:val="20"/>
          <w:szCs w:val="20"/>
        </w:rPr>
        <w:t>2、供应商须配置具备解决供货问题能力的各专业人员进行配送服务及售后服务相</w:t>
      </w:r>
      <w:r>
        <w:rPr>
          <w:rFonts w:hint="eastAsia" w:ascii="华文楷体" w:hAnsi="华文楷体" w:eastAsia="华文楷体" w:cs="华文楷体"/>
          <w:b/>
          <w:bCs/>
          <w:spacing w:val="7"/>
          <w:sz w:val="20"/>
          <w:szCs w:val="20"/>
        </w:rPr>
        <w:t>关人员。</w:t>
      </w:r>
    </w:p>
    <w:p w14:paraId="55C51C5B">
      <w:pPr>
        <w:pStyle w:val="9"/>
        <w:spacing w:line="258" w:lineRule="auto"/>
        <w:rPr>
          <w:rFonts w:hint="eastAsia" w:ascii="华文楷体" w:hAnsi="华文楷体" w:eastAsia="华文楷体" w:cs="华文楷体"/>
        </w:rPr>
      </w:pPr>
    </w:p>
    <w:p w14:paraId="697F605E">
      <w:pPr>
        <w:pStyle w:val="9"/>
        <w:spacing w:line="258" w:lineRule="auto"/>
        <w:rPr>
          <w:rFonts w:hint="eastAsia" w:ascii="华文楷体" w:hAnsi="华文楷体" w:eastAsia="华文楷体" w:cs="华文楷体"/>
        </w:rPr>
      </w:pPr>
    </w:p>
    <w:p w14:paraId="6B4F667F">
      <w:pPr>
        <w:pStyle w:val="9"/>
        <w:spacing w:line="258" w:lineRule="auto"/>
        <w:rPr>
          <w:rFonts w:hint="eastAsia" w:ascii="华文楷体" w:hAnsi="华文楷体" w:eastAsia="华文楷体" w:cs="华文楷体"/>
        </w:rPr>
      </w:pPr>
    </w:p>
    <w:p w14:paraId="6590ECF9">
      <w:pPr>
        <w:spacing w:before="78" w:line="219" w:lineRule="auto"/>
        <w:ind w:left="377"/>
        <w:rPr>
          <w:rFonts w:hint="eastAsia" w:ascii="华文楷体" w:hAnsi="华文楷体" w:eastAsia="华文楷体" w:cs="华文楷体"/>
          <w:sz w:val="24"/>
          <w:szCs w:val="24"/>
        </w:rPr>
      </w:pPr>
      <w:r>
        <w:rPr>
          <w:rFonts w:hint="eastAsia" w:ascii="华文楷体" w:hAnsi="华文楷体" w:eastAsia="华文楷体" w:cs="华文楷体"/>
          <w:spacing w:val="-2"/>
          <w:sz w:val="24"/>
          <w:szCs w:val="24"/>
        </w:rPr>
        <w:t>供应商（盖章</w:t>
      </w:r>
      <w:r>
        <w:rPr>
          <w:rFonts w:hint="eastAsia" w:ascii="华文楷体" w:hAnsi="华文楷体" w:eastAsia="华文楷体" w:cs="华文楷体"/>
          <w:sz w:val="24"/>
          <w:szCs w:val="24"/>
        </w:rPr>
        <w:t>）：</w:t>
      </w:r>
      <w:r>
        <w:rPr>
          <w:rFonts w:hint="eastAsia" w:ascii="华文楷体" w:hAnsi="华文楷体" w:eastAsia="华文楷体" w:cs="华文楷体"/>
          <w:sz w:val="24"/>
          <w:szCs w:val="24"/>
          <w:u w:val="single" w:color="auto"/>
        </w:rPr>
        <w:t xml:space="preserve">                         </w:t>
      </w:r>
    </w:p>
    <w:p w14:paraId="6B3A77A6">
      <w:pPr>
        <w:spacing w:before="274" w:line="415" w:lineRule="auto"/>
        <w:ind w:left="418" w:right="2397" w:hanging="40"/>
        <w:rPr>
          <w:rFonts w:hint="eastAsia" w:ascii="华文楷体" w:hAnsi="华文楷体" w:eastAsia="华文楷体" w:cs="华文楷体"/>
          <w:sz w:val="24"/>
          <w:szCs w:val="24"/>
        </w:rPr>
      </w:pPr>
      <w:r>
        <w:rPr>
          <w:rFonts w:hint="eastAsia" w:ascii="华文楷体" w:hAnsi="华文楷体" w:eastAsia="华文楷体" w:cs="华文楷体"/>
          <w:spacing w:val="-1"/>
          <w:sz w:val="24"/>
          <w:szCs w:val="24"/>
        </w:rPr>
        <w:t>法定代表人或委托代理人（签字或盖章</w:t>
      </w:r>
      <w:r>
        <w:rPr>
          <w:rFonts w:hint="eastAsia" w:ascii="华文楷体" w:hAnsi="华文楷体" w:eastAsia="华文楷体" w:cs="华文楷体"/>
          <w:spacing w:val="2"/>
          <w:sz w:val="24"/>
          <w:szCs w:val="24"/>
        </w:rPr>
        <w:t>）：</w:t>
      </w:r>
      <w:r>
        <w:rPr>
          <w:rFonts w:hint="eastAsia" w:ascii="华文楷体" w:hAnsi="华文楷体" w:eastAsia="华文楷体" w:cs="华文楷体"/>
          <w:sz w:val="24"/>
          <w:szCs w:val="24"/>
          <w:u w:val="single" w:color="auto"/>
        </w:rPr>
        <w:t xml:space="preserve">                   </w:t>
      </w:r>
      <w:r>
        <w:rPr>
          <w:rFonts w:hint="eastAsia" w:ascii="华文楷体" w:hAnsi="华文楷体" w:eastAsia="华文楷体" w:cs="华文楷体"/>
          <w:sz w:val="24"/>
          <w:szCs w:val="24"/>
        </w:rPr>
        <w:t xml:space="preserve"> </w:t>
      </w:r>
      <w:r>
        <w:rPr>
          <w:rFonts w:hint="eastAsia" w:ascii="华文楷体" w:hAnsi="华文楷体" w:eastAsia="华文楷体" w:cs="华文楷体"/>
          <w:spacing w:val="-13"/>
          <w:sz w:val="24"/>
          <w:szCs w:val="24"/>
        </w:rPr>
        <w:t>日期：</w:t>
      </w:r>
      <w:r>
        <w:rPr>
          <w:rFonts w:hint="eastAsia" w:ascii="华文楷体" w:hAnsi="华文楷体" w:eastAsia="华文楷体" w:cs="华文楷体"/>
          <w:sz w:val="24"/>
          <w:szCs w:val="24"/>
          <w:u w:val="single" w:color="auto"/>
        </w:rPr>
        <w:t xml:space="preserve">       </w:t>
      </w:r>
      <w:r>
        <w:rPr>
          <w:rFonts w:hint="eastAsia" w:ascii="华文楷体" w:hAnsi="华文楷体" w:eastAsia="华文楷体" w:cs="华文楷体"/>
          <w:spacing w:val="-109"/>
          <w:sz w:val="24"/>
          <w:szCs w:val="24"/>
        </w:rPr>
        <w:t xml:space="preserve"> </w:t>
      </w:r>
      <w:r>
        <w:rPr>
          <w:rFonts w:hint="eastAsia" w:ascii="华文楷体" w:hAnsi="华文楷体" w:eastAsia="华文楷体" w:cs="华文楷体"/>
          <w:spacing w:val="-13"/>
          <w:sz w:val="24"/>
          <w:szCs w:val="24"/>
        </w:rPr>
        <w:t>年</w:t>
      </w:r>
      <w:r>
        <w:rPr>
          <w:rFonts w:hint="eastAsia" w:ascii="华文楷体" w:hAnsi="华文楷体" w:eastAsia="华文楷体" w:cs="华文楷体"/>
          <w:spacing w:val="19"/>
          <w:sz w:val="24"/>
          <w:szCs w:val="24"/>
          <w:u w:val="single" w:color="auto"/>
        </w:rPr>
        <w:t xml:space="preserve">      </w:t>
      </w:r>
      <w:r>
        <w:rPr>
          <w:rFonts w:hint="eastAsia" w:ascii="华文楷体" w:hAnsi="华文楷体" w:eastAsia="华文楷体" w:cs="华文楷体"/>
          <w:spacing w:val="-99"/>
          <w:sz w:val="24"/>
          <w:szCs w:val="24"/>
        </w:rPr>
        <w:t xml:space="preserve"> </w:t>
      </w:r>
      <w:r>
        <w:rPr>
          <w:rFonts w:hint="eastAsia" w:ascii="华文楷体" w:hAnsi="华文楷体" w:eastAsia="华文楷体" w:cs="华文楷体"/>
          <w:spacing w:val="-13"/>
          <w:sz w:val="24"/>
          <w:szCs w:val="24"/>
        </w:rPr>
        <w:t>月</w:t>
      </w:r>
      <w:r>
        <w:rPr>
          <w:rFonts w:hint="eastAsia" w:ascii="华文楷体" w:hAnsi="华文楷体" w:eastAsia="华文楷体" w:cs="华文楷体"/>
          <w:spacing w:val="19"/>
          <w:sz w:val="24"/>
          <w:szCs w:val="24"/>
          <w:u w:val="single" w:color="auto"/>
        </w:rPr>
        <w:t xml:space="preserve">      </w:t>
      </w:r>
      <w:r>
        <w:rPr>
          <w:rFonts w:hint="eastAsia" w:ascii="华文楷体" w:hAnsi="华文楷体" w:eastAsia="华文楷体" w:cs="华文楷体"/>
          <w:spacing w:val="-64"/>
          <w:sz w:val="24"/>
          <w:szCs w:val="24"/>
        </w:rPr>
        <w:t xml:space="preserve"> </w:t>
      </w:r>
      <w:r>
        <w:rPr>
          <w:rFonts w:hint="eastAsia" w:ascii="华文楷体" w:hAnsi="华文楷体" w:eastAsia="华文楷体" w:cs="华文楷体"/>
          <w:spacing w:val="-13"/>
          <w:sz w:val="24"/>
          <w:szCs w:val="24"/>
        </w:rPr>
        <w:t>日</w:t>
      </w:r>
    </w:p>
    <w:p w14:paraId="24182590">
      <w:pPr>
        <w:spacing w:line="415" w:lineRule="auto"/>
        <w:rPr>
          <w:rFonts w:hint="eastAsia" w:ascii="华文楷体" w:hAnsi="华文楷体" w:eastAsia="华文楷体" w:cs="华文楷体"/>
          <w:sz w:val="24"/>
          <w:szCs w:val="24"/>
        </w:rPr>
        <w:sectPr>
          <w:footerReference r:id="rId4" w:type="default"/>
          <w:pgSz w:w="11906" w:h="16839"/>
          <w:pgMar w:top="1431" w:right="1488" w:bottom="1398" w:left="812" w:header="0" w:footer="1184" w:gutter="0"/>
          <w:cols w:space="720" w:num="1"/>
        </w:sectPr>
      </w:pPr>
    </w:p>
    <w:p w14:paraId="4A96FAD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922" w:firstLineChars="6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56" w:name="_Toc32056"/>
      <w:bookmarkStart w:id="57" w:name="_Toc31912"/>
      <w:r>
        <w:rPr>
          <w:rFonts w:hint="eastAsia" w:ascii="华文楷体" w:hAnsi="华文楷体" w:eastAsia="华文楷体" w:cs="华文楷体"/>
          <w:b/>
          <w:color w:val="FF0000"/>
          <w:kern w:val="0"/>
          <w:sz w:val="32"/>
          <w:szCs w:val="32"/>
          <w:lang w:val="en-US" w:eastAsia="zh-CN" w:bidi="ar-SA"/>
        </w:rPr>
        <w:t>十一、近三年类似项目业绩</w:t>
      </w:r>
      <w:bookmarkEnd w:id="56"/>
      <w:bookmarkEnd w:id="57"/>
    </w:p>
    <w:p w14:paraId="08D47706">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提供近3年本公司（2021年11月至今）类似项目业绩证明材料（以服务合同为准），服务合同中的业主名称、金额、服务期限等关键信息不得涂盖（有效业绩范围为：水平衡测试）。</w:t>
      </w:r>
    </w:p>
    <w:p w14:paraId="1D181F92">
      <w:pPr>
        <w:pStyle w:val="9"/>
        <w:spacing w:line="257" w:lineRule="auto"/>
      </w:pPr>
    </w:p>
    <w:p w14:paraId="7D74ED93">
      <w:pPr>
        <w:pStyle w:val="9"/>
        <w:spacing w:line="257" w:lineRule="auto"/>
      </w:pPr>
    </w:p>
    <w:p w14:paraId="6D3DED19">
      <w:pPr>
        <w:pStyle w:val="9"/>
        <w:spacing w:line="257" w:lineRule="auto"/>
      </w:pPr>
    </w:p>
    <w:p w14:paraId="2A97F02B">
      <w:pPr>
        <w:pStyle w:val="9"/>
        <w:spacing w:line="257" w:lineRule="auto"/>
      </w:pPr>
    </w:p>
    <w:p w14:paraId="5C77BA77">
      <w:pPr>
        <w:pStyle w:val="9"/>
        <w:spacing w:line="258" w:lineRule="auto"/>
      </w:pPr>
    </w:p>
    <w:p w14:paraId="0C599D9A">
      <w:pPr>
        <w:pStyle w:val="9"/>
        <w:spacing w:line="258" w:lineRule="auto"/>
      </w:pPr>
    </w:p>
    <w:p w14:paraId="5013437E">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7F8B558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39C48698">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573A379">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62C790E">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CA54F91">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43DB87B">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47D46D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B7080DB">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256B32E6">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686F3AC4">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7474FB97">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bookmarkEnd w:id="42"/>
    <w:p w14:paraId="45893A5F">
      <w:pPr>
        <w:pStyle w:val="3"/>
        <w:pageBreakBefore w:val="0"/>
        <w:numPr>
          <w:ilvl w:val="1"/>
          <w:numId w:val="0"/>
        </w:numPr>
        <w:topLinePunct w:val="0"/>
        <w:bidi w:val="0"/>
        <w:snapToGrid/>
        <w:spacing w:line="240" w:lineRule="auto"/>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bookmarkStart w:id="58" w:name="_Toc14865"/>
      <w:bookmarkStart w:id="59" w:name="_Toc9185"/>
      <w:bookmarkStart w:id="60" w:name="_Toc2803"/>
      <w:r>
        <w:rPr>
          <w:rFonts w:hint="eastAsia" w:ascii="华文楷体" w:hAnsi="华文楷体" w:eastAsia="华文楷体" w:cs="华文楷体"/>
          <w:b/>
          <w:color w:val="FF0000"/>
          <w:kern w:val="0"/>
          <w:sz w:val="32"/>
          <w:szCs w:val="32"/>
          <w:lang w:val="en-US" w:eastAsia="zh-CN" w:bidi="ar-SA"/>
        </w:rPr>
        <w:t>十二、响应人认为有必要提供的其他文件</w:t>
      </w:r>
      <w:bookmarkEnd w:id="58"/>
      <w:bookmarkEnd w:id="59"/>
      <w:bookmarkEnd w:id="60"/>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outlineLvl w:val="0"/>
        <w:rPr>
          <w:rFonts w:hint="default" w:ascii="宋体" w:hAnsi="宋体" w:eastAsia="宋体" w:cs="宋体"/>
          <w:color w:val="auto"/>
          <w:szCs w:val="21"/>
          <w:highlight w:val="none"/>
          <w:lang w:val="en-US" w:eastAsia="zh-CN"/>
        </w:rPr>
      </w:pPr>
      <w:bookmarkStart w:id="61" w:name="_Toc2303"/>
      <w:r>
        <w:rPr>
          <w:rFonts w:hint="eastAsia" w:ascii="华文楷体" w:hAnsi="华文楷体" w:eastAsia="华文楷体" w:cs="华文楷体"/>
          <w:b/>
          <w:color w:val="FF0000"/>
          <w:kern w:val="0"/>
          <w:sz w:val="32"/>
          <w:szCs w:val="32"/>
          <w:lang w:val="en-US" w:eastAsia="zh-CN" w:bidi="ar-SA"/>
        </w:rPr>
        <w:t>十三、</w:t>
      </w:r>
      <w:bookmarkStart w:id="62" w:name="_Toc31202"/>
      <w:bookmarkStart w:id="63" w:name="_Toc29523"/>
      <w:r>
        <w:rPr>
          <w:rFonts w:hint="eastAsia" w:ascii="华文楷体" w:hAnsi="华文楷体" w:eastAsia="华文楷体" w:cs="华文楷体"/>
          <w:b/>
          <w:color w:val="FF0000"/>
          <w:kern w:val="0"/>
          <w:sz w:val="32"/>
          <w:szCs w:val="32"/>
          <w:lang w:val="en-US" w:eastAsia="zh-CN" w:bidi="ar-SA"/>
        </w:rPr>
        <w:t>不参与围标串标承诺书</w:t>
      </w:r>
      <w:bookmarkEnd w:id="61"/>
    </w:p>
    <w:p w14:paraId="4E729603">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安宁市第一人民医院金方院区水平衡测试项目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ANYGT-YNTP-2024N146</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0"/>
        <w:rPr>
          <w:rFonts w:hint="eastAsia" w:ascii="华文楷体" w:hAnsi="华文楷体" w:eastAsia="华文楷体" w:cs="华文楷体"/>
          <w:color w:val="auto"/>
          <w:sz w:val="21"/>
          <w:szCs w:val="21"/>
          <w:highlight w:val="none"/>
        </w:rPr>
      </w:pPr>
      <w:bookmarkStart w:id="64" w:name="_Toc2052"/>
      <w:r>
        <w:rPr>
          <w:rFonts w:hint="eastAsia" w:ascii="华文楷体" w:hAnsi="华文楷体" w:eastAsia="华文楷体" w:cs="华文楷体"/>
          <w:color w:val="auto"/>
          <w:sz w:val="21"/>
          <w:szCs w:val="21"/>
          <w:highlight w:val="none"/>
        </w:rPr>
        <w:t>二、我单位在本项目招标投标活动中，未参与围标串标。</w:t>
      </w:r>
      <w:bookmarkEnd w:id="64"/>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outlineLvl w:val="0"/>
        <w:rPr>
          <w:rFonts w:hint="eastAsia" w:ascii="华文楷体" w:hAnsi="华文楷体" w:eastAsia="华文楷体" w:cs="华文楷体"/>
          <w:color w:val="auto"/>
          <w:sz w:val="21"/>
          <w:szCs w:val="21"/>
          <w:highlight w:val="none"/>
        </w:rPr>
      </w:pPr>
      <w:bookmarkStart w:id="65" w:name="_Toc932"/>
      <w:r>
        <w:rPr>
          <w:rFonts w:hint="eastAsia" w:ascii="华文楷体" w:hAnsi="华文楷体" w:eastAsia="华文楷体" w:cs="华文楷体"/>
          <w:color w:val="auto"/>
          <w:sz w:val="21"/>
          <w:szCs w:val="21"/>
          <w:highlight w:val="none"/>
          <w:lang w:val="en-US" w:eastAsia="zh-CN"/>
        </w:rPr>
        <w:t>四、处理方式：</w:t>
      </w:r>
      <w:bookmarkEnd w:id="65"/>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9"/>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9"/>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0"/>
        <w:rPr>
          <w:rFonts w:hint="eastAsia" w:ascii="华文楷体" w:hAnsi="华文楷体" w:eastAsia="华文楷体" w:cs="华文楷体"/>
          <w:b/>
          <w:bCs/>
          <w:color w:val="auto"/>
          <w:kern w:val="2"/>
          <w:sz w:val="28"/>
          <w:szCs w:val="28"/>
          <w:highlight w:val="none"/>
          <w:lang w:val="en-US" w:eastAsia="zh-CN" w:bidi="ar-SA"/>
        </w:rPr>
      </w:pPr>
      <w:bookmarkStart w:id="66" w:name="_Toc14890"/>
      <w:r>
        <w:rPr>
          <w:rFonts w:hint="eastAsia" w:ascii="华文楷体" w:hAnsi="华文楷体" w:eastAsia="华文楷体" w:cs="华文楷体"/>
          <w:b/>
          <w:color w:val="FF0000"/>
          <w:kern w:val="0"/>
          <w:sz w:val="32"/>
          <w:szCs w:val="32"/>
          <w:lang w:val="en-US" w:eastAsia="zh-CN" w:bidi="ar-SA"/>
        </w:rPr>
        <w:t>十四、</w:t>
      </w:r>
      <w:bookmarkEnd w:id="62"/>
      <w:r>
        <w:rPr>
          <w:rFonts w:hint="eastAsia" w:ascii="华文楷体" w:hAnsi="华文楷体" w:eastAsia="华文楷体" w:cs="华文楷体"/>
          <w:b/>
          <w:color w:val="FF0000"/>
          <w:kern w:val="0"/>
          <w:sz w:val="32"/>
          <w:szCs w:val="32"/>
          <w:lang w:val="en-US" w:eastAsia="zh-CN" w:bidi="ar-SA"/>
        </w:rPr>
        <w:t>合规及廉洁自律承诺书</w:t>
      </w:r>
      <w:bookmarkEnd w:id="63"/>
      <w:bookmarkEnd w:id="66"/>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outlineLvl w:val="0"/>
        <w:rPr>
          <w:rFonts w:hint="eastAsia" w:ascii="华文楷体" w:hAnsi="华文楷体" w:eastAsia="华文楷体" w:cs="华文楷体"/>
          <w:color w:val="auto"/>
          <w:sz w:val="21"/>
          <w:szCs w:val="21"/>
          <w:highlight w:val="none"/>
        </w:rPr>
      </w:pPr>
      <w:bookmarkStart w:id="67" w:name="_Toc8215"/>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bookmarkEnd w:id="67"/>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0"/>
        <w:rPr>
          <w:rFonts w:hint="eastAsia" w:ascii="华文楷体" w:hAnsi="华文楷体" w:eastAsia="华文楷体" w:cs="华文楷体"/>
          <w:b/>
          <w:bCs/>
          <w:color w:val="auto"/>
          <w:sz w:val="28"/>
          <w:szCs w:val="28"/>
          <w:highlight w:val="none"/>
        </w:rPr>
      </w:pPr>
      <w:bookmarkStart w:id="68" w:name="_Toc6034"/>
      <w:r>
        <w:rPr>
          <w:rFonts w:hint="eastAsia" w:ascii="华文楷体" w:hAnsi="华文楷体" w:eastAsia="华文楷体" w:cs="华文楷体"/>
          <w:color w:val="auto"/>
          <w:szCs w:val="21"/>
          <w:highlight w:val="none"/>
        </w:rPr>
        <w:br w:type="page"/>
      </w:r>
      <w:bookmarkStart w:id="69" w:name="_Toc195"/>
      <w:r>
        <w:rPr>
          <w:rFonts w:hint="eastAsia" w:ascii="华文楷体" w:hAnsi="华文楷体" w:eastAsia="华文楷体" w:cs="华文楷体"/>
          <w:b/>
          <w:color w:val="FF0000"/>
          <w:kern w:val="0"/>
          <w:sz w:val="32"/>
          <w:szCs w:val="32"/>
          <w:lang w:val="en-US" w:eastAsia="zh-CN" w:bidi="ar-SA"/>
        </w:rPr>
        <w:t>十五、不存在禁止参与投保情形承诺书</w:t>
      </w:r>
      <w:bookmarkEnd w:id="68"/>
      <w:bookmarkEnd w:id="69"/>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安宁市第一人民医院金方院区水平衡测试项目</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70"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70"/>
    <w:p w14:paraId="760F0C0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footerReference r:id="rId5" w:type="default"/>
          <w:pgSz w:w="11906" w:h="16838"/>
          <w:pgMar w:top="1440" w:right="1800" w:bottom="1440" w:left="1800" w:header="851" w:footer="992" w:gutter="0"/>
          <w:pgNumType w:fmt="decimal"/>
          <w:cols w:space="425" w:num="1"/>
          <w:docGrid w:type="lines" w:linePitch="312" w:charSpace="0"/>
        </w:sectPr>
      </w:pPr>
    </w:p>
    <w:p w14:paraId="7061C5BF">
      <w:pPr>
        <w:jc w:val="center"/>
        <w:outlineLvl w:val="0"/>
        <w:rPr>
          <w:rFonts w:hint="eastAsia" w:ascii="华文楷体" w:hAnsi="华文楷体" w:eastAsia="华文楷体" w:cs="华文楷体"/>
          <w:b/>
          <w:color w:val="FF0000"/>
          <w:kern w:val="0"/>
          <w:sz w:val="32"/>
          <w:szCs w:val="32"/>
          <w:lang w:val="en-US" w:eastAsia="zh-CN" w:bidi="ar-SA"/>
        </w:rPr>
      </w:pPr>
      <w:bookmarkStart w:id="71" w:name="_Toc23190"/>
      <w:r>
        <w:rPr>
          <w:rFonts w:hint="eastAsia" w:ascii="华文楷体" w:hAnsi="华文楷体" w:eastAsia="华文楷体" w:cs="华文楷体"/>
          <w:b/>
          <w:color w:val="FF0000"/>
          <w:kern w:val="0"/>
          <w:sz w:val="32"/>
          <w:szCs w:val="32"/>
          <w:lang w:val="en-US" w:eastAsia="zh-CN" w:bidi="ar-SA"/>
        </w:rPr>
        <w:t>十六：二次报价承诺书</w:t>
      </w:r>
      <w:bookmarkEnd w:id="71"/>
    </w:p>
    <w:p w14:paraId="108FC778">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405248A1">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color w:val="auto"/>
          <w:kern w:val="2"/>
          <w:sz w:val="24"/>
          <w:szCs w:val="24"/>
          <w:highlight w:val="none"/>
          <w:lang w:val="en-US" w:eastAsia="zh-CN" w:bidi="ar-SA"/>
        </w:rPr>
      </w:pPr>
      <w:bookmarkStart w:id="72" w:name="_Toc7590"/>
      <w:bookmarkStart w:id="73" w:name="_Toc26533"/>
      <w:bookmarkStart w:id="74" w:name="_Toc5152"/>
      <w:bookmarkStart w:id="75" w:name="_Toc25364"/>
      <w:bookmarkStart w:id="76" w:name="_Toc23910"/>
      <w:bookmarkStart w:id="77" w:name="_Toc19048"/>
      <w:r>
        <w:rPr>
          <w:rFonts w:hint="eastAsia" w:ascii="华文楷体" w:hAnsi="华文楷体" w:eastAsia="华文楷体" w:cs="华文楷体"/>
          <w:b w:val="0"/>
          <w:bCs/>
          <w:color w:val="auto"/>
          <w:kern w:val="2"/>
          <w:sz w:val="24"/>
          <w:szCs w:val="24"/>
          <w:highlight w:val="none"/>
          <w:lang w:val="en-US" w:eastAsia="zh-CN" w:bidi="ar-SA"/>
        </w:rPr>
        <w:t>致：</w:t>
      </w:r>
      <w:bookmarkEnd w:id="72"/>
      <w:bookmarkEnd w:id="73"/>
      <w:r>
        <w:rPr>
          <w:rFonts w:hint="eastAsia" w:ascii="华文楷体" w:hAnsi="华文楷体" w:eastAsia="华文楷体" w:cs="华文楷体"/>
          <w:b w:val="0"/>
          <w:bCs/>
          <w:color w:val="auto"/>
          <w:kern w:val="2"/>
          <w:sz w:val="24"/>
          <w:szCs w:val="24"/>
          <w:highlight w:val="none"/>
          <w:lang w:val="en-US" w:eastAsia="zh-CN" w:bidi="ar-SA"/>
        </w:rPr>
        <w:t>安宁市第一人民医院</w:t>
      </w:r>
      <w:bookmarkEnd w:id="74"/>
      <w:bookmarkEnd w:id="75"/>
      <w:bookmarkEnd w:id="76"/>
      <w:bookmarkEnd w:id="77"/>
    </w:p>
    <w:p w14:paraId="7E75FB8C">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华文楷体" w:hAnsi="华文楷体" w:eastAsia="华文楷体" w:cs="华文楷体"/>
          <w:b w:val="0"/>
          <w:bCs/>
          <w:color w:val="auto"/>
          <w:kern w:val="2"/>
          <w:sz w:val="24"/>
          <w:szCs w:val="24"/>
          <w:highlight w:val="none"/>
          <w:lang w:val="en-US" w:eastAsia="zh-CN" w:bidi="ar-SA"/>
        </w:rPr>
      </w:pPr>
      <w:r>
        <w:rPr>
          <w:rFonts w:hint="eastAsia" w:ascii="华文楷体" w:hAnsi="华文楷体" w:eastAsia="华文楷体" w:cs="华文楷体"/>
          <w:b w:val="0"/>
          <w:bCs/>
          <w:color w:val="auto"/>
          <w:kern w:val="2"/>
          <w:sz w:val="24"/>
          <w:szCs w:val="24"/>
          <w:highlight w:val="none"/>
          <w:lang w:val="en-US" w:eastAsia="zh-CN" w:bidi="ar-SA"/>
        </w:rPr>
        <w:t>根据贵方采购需求，我方愿按以下报价作为最终谈判报价，承担相应的服务工作。</w:t>
      </w:r>
    </w:p>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4"/>
          <w:szCs w:val="24"/>
          <w:highlight w:val="none"/>
        </w:rPr>
      </w:pPr>
    </w:p>
    <w:p w14:paraId="7BC1F357">
      <w:pPr>
        <w:keepNext w:val="0"/>
        <w:keepLines w:val="0"/>
        <w:pageBreakBefore w:val="0"/>
        <w:widowControl w:val="0"/>
        <w:kinsoku/>
        <w:wordWrap/>
        <w:overflowPunct/>
        <w:topLinePunct w:val="0"/>
        <w:autoSpaceDE/>
        <w:autoSpaceDN/>
        <w:bidi w:val="0"/>
        <w:adjustRightInd/>
        <w:snapToGrid/>
        <w:spacing w:afterAutospacing="0" w:line="400" w:lineRule="exact"/>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项目名称：</w:t>
      </w:r>
      <w:r>
        <w:rPr>
          <w:rFonts w:hint="eastAsia" w:ascii="华文楷体" w:hAnsi="华文楷体" w:eastAsia="华文楷体" w:cs="华文楷体"/>
          <w:b w:val="0"/>
          <w:bCs w:val="0"/>
          <w:color w:val="auto"/>
          <w:kern w:val="2"/>
          <w:sz w:val="28"/>
          <w:szCs w:val="28"/>
          <w:highlight w:val="none"/>
          <w:lang w:val="en-US" w:eastAsia="zh-CN" w:bidi="ar-SA"/>
        </w:rPr>
        <w:t>安宁市第一人民医院金方院区水平衡测试项目</w:t>
      </w:r>
      <w:r>
        <w:rPr>
          <w:rFonts w:hint="eastAsia" w:ascii="华文楷体" w:hAnsi="华文楷体" w:eastAsia="华文楷体" w:cs="华文楷体"/>
          <w:b w:val="0"/>
          <w:bCs/>
          <w:sz w:val="24"/>
          <w:szCs w:val="24"/>
        </w:rPr>
        <w:t xml:space="preserve"> </w:t>
      </w:r>
    </w:p>
    <w:p w14:paraId="09CABFC1">
      <w:pPr>
        <w:keepNext w:val="0"/>
        <w:keepLines w:val="0"/>
        <w:pageBreakBefore w:val="0"/>
        <w:widowControl w:val="0"/>
        <w:kinsoku/>
        <w:wordWrap/>
        <w:overflowPunct/>
        <w:topLinePunct w:val="0"/>
        <w:autoSpaceDE/>
        <w:autoSpaceDN/>
        <w:bidi w:val="0"/>
        <w:adjustRightInd/>
        <w:snapToGrid/>
        <w:spacing w:afterAutospacing="0" w:line="400" w:lineRule="exact"/>
        <w:textAlignment w:val="auto"/>
        <w:rPr>
          <w:rFonts w:hint="default" w:ascii="华文楷体" w:hAnsi="华文楷体" w:eastAsia="华文楷体" w:cs="华文楷体"/>
          <w:b w:val="0"/>
          <w:bCs/>
          <w:lang w:val="en-US"/>
        </w:rPr>
      </w:pPr>
      <w:r>
        <w:rPr>
          <w:rFonts w:hint="eastAsia" w:ascii="华文楷体" w:hAnsi="华文楷体" w:eastAsia="华文楷体" w:cs="华文楷体"/>
          <w:b w:val="0"/>
          <w:bCs/>
          <w:sz w:val="24"/>
          <w:szCs w:val="24"/>
          <w:lang w:eastAsia="zh-CN"/>
        </w:rPr>
        <w:t>项目编号</w:t>
      </w:r>
      <w:r>
        <w:rPr>
          <w:rFonts w:hint="eastAsia" w:ascii="华文楷体" w:hAnsi="华文楷体" w:eastAsia="华文楷体" w:cs="华文楷体"/>
          <w:b w:val="0"/>
          <w:bCs/>
          <w:sz w:val="24"/>
          <w:szCs w:val="24"/>
        </w:rPr>
        <w:t>：</w:t>
      </w:r>
      <w:r>
        <w:rPr>
          <w:rFonts w:hint="eastAsia" w:ascii="华文楷体" w:hAnsi="华文楷体" w:eastAsia="华文楷体" w:cs="华文楷体"/>
          <w:b w:val="0"/>
          <w:bCs/>
          <w:color w:val="auto"/>
          <w:sz w:val="24"/>
          <w:szCs w:val="24"/>
          <w:highlight w:val="none"/>
          <w:u w:val="none"/>
          <w:lang w:val="en-US" w:eastAsia="zh-CN"/>
        </w:rPr>
        <w:t>ANYGT-YNTP-2024N146</w:t>
      </w:r>
    </w:p>
    <w:tbl>
      <w:tblPr>
        <w:tblStyle w:val="21"/>
        <w:tblW w:w="9300" w:type="dxa"/>
        <w:tblInd w:w="699"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30"/>
        <w:gridCol w:w="1881"/>
        <w:gridCol w:w="6489"/>
      </w:tblGrid>
      <w:tr w14:paraId="4961511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30" w:type="dxa"/>
            <w:tcBorders>
              <w:top w:val="single" w:color="auto" w:sz="2" w:space="0"/>
            </w:tcBorders>
            <w:vAlign w:val="center"/>
          </w:tcPr>
          <w:p w14:paraId="182BB60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1881" w:type="dxa"/>
            <w:tcBorders>
              <w:top w:val="single" w:color="auto" w:sz="2" w:space="0"/>
            </w:tcBorders>
            <w:vAlign w:val="center"/>
          </w:tcPr>
          <w:p w14:paraId="5B19C5FE">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p>
        </w:tc>
        <w:tc>
          <w:tcPr>
            <w:tcW w:w="6489" w:type="dxa"/>
            <w:tcBorders>
              <w:top w:val="single" w:color="auto" w:sz="2" w:space="0"/>
            </w:tcBorders>
            <w:vAlign w:val="center"/>
          </w:tcPr>
          <w:p w14:paraId="11F78D3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EED83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30" w:type="dxa"/>
            <w:tcBorders>
              <w:top w:val="single" w:color="auto" w:sz="2" w:space="0"/>
            </w:tcBorders>
            <w:vAlign w:val="center"/>
          </w:tcPr>
          <w:p w14:paraId="73105AEE">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1881" w:type="dxa"/>
            <w:tcBorders>
              <w:top w:val="single" w:color="auto" w:sz="2" w:space="0"/>
            </w:tcBorders>
            <w:vAlign w:val="center"/>
          </w:tcPr>
          <w:p w14:paraId="0D5DB497">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6489" w:type="dxa"/>
            <w:tcBorders>
              <w:top w:val="single" w:color="auto" w:sz="2" w:space="0"/>
            </w:tcBorders>
            <w:vAlign w:val="center"/>
          </w:tcPr>
          <w:p w14:paraId="795F97A7">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60754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30" w:type="dxa"/>
            <w:tcBorders>
              <w:top w:val="single" w:color="auto" w:sz="2" w:space="0"/>
            </w:tcBorders>
            <w:vAlign w:val="center"/>
          </w:tcPr>
          <w:p w14:paraId="1CF8D94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1881" w:type="dxa"/>
            <w:tcBorders>
              <w:top w:val="single" w:color="auto" w:sz="2" w:space="0"/>
            </w:tcBorders>
            <w:vAlign w:val="center"/>
          </w:tcPr>
          <w:p w14:paraId="11E7342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6489" w:type="dxa"/>
            <w:tcBorders>
              <w:top w:val="single" w:color="auto" w:sz="2" w:space="0"/>
            </w:tcBorders>
            <w:vAlign w:val="center"/>
          </w:tcPr>
          <w:p w14:paraId="0F552BC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570F0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30" w:type="dxa"/>
            <w:tcBorders>
              <w:top w:val="single" w:color="000000" w:sz="4" w:space="0"/>
            </w:tcBorders>
            <w:vAlign w:val="center"/>
          </w:tcPr>
          <w:p w14:paraId="2DBAA32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1881" w:type="dxa"/>
            <w:tcBorders>
              <w:top w:val="single" w:color="000000" w:sz="4" w:space="0"/>
            </w:tcBorders>
            <w:vAlign w:val="center"/>
          </w:tcPr>
          <w:p w14:paraId="2165BE10">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6489" w:type="dxa"/>
            <w:tcBorders>
              <w:top w:val="single" w:color="000000" w:sz="4" w:space="0"/>
            </w:tcBorders>
            <w:vAlign w:val="center"/>
          </w:tcPr>
          <w:p w14:paraId="67B0C0F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244DEFFE">
      <w:pPr>
        <w:spacing w:after="100" w:afterAutospacing="1"/>
        <w:rPr>
          <w:rFonts w:hint="eastAsia" w:ascii="华文楷体" w:hAnsi="华文楷体" w:eastAsia="华文楷体" w:cs="华文楷体"/>
          <w:b w:val="0"/>
          <w:bCs/>
          <w:sz w:val="24"/>
        </w:rPr>
      </w:pPr>
    </w:p>
    <w:p w14:paraId="1EEB44BD">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27BE0B0B">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法定代表人或委托代理人(签字)：</w:t>
      </w:r>
    </w:p>
    <w:p w14:paraId="16142510">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日期：  年  月  日</w:t>
      </w:r>
    </w:p>
    <w:p w14:paraId="01F8D887">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2EEC2">
    <w:pPr>
      <w:spacing w:line="209" w:lineRule="auto"/>
      <w:ind w:left="4477"/>
      <w:rPr>
        <w:rFonts w:ascii="宋体" w:hAnsi="宋体" w:eastAsia="宋体" w:cs="宋体"/>
        <w:sz w:val="18"/>
        <w:szCs w:val="18"/>
      </w:rPr>
    </w:pPr>
    <w:r>
      <w:rPr>
        <w:rFonts w:ascii="宋体" w:hAnsi="宋体" w:eastAsia="宋体" w:cs="宋体"/>
        <w:spacing w:val="-3"/>
        <w:sz w:val="18"/>
        <w:szCs w:val="18"/>
      </w:rPr>
      <w:t>第</w:t>
    </w:r>
    <w:r>
      <w:rPr>
        <w:rFonts w:ascii="宋体" w:hAnsi="宋体" w:eastAsia="宋体" w:cs="宋体"/>
        <w:spacing w:val="6"/>
        <w:sz w:val="18"/>
        <w:szCs w:val="18"/>
      </w:rPr>
      <w:t xml:space="preserve"> </w:t>
    </w:r>
    <w:r>
      <w:rPr>
        <w:rFonts w:ascii="Times New Roman" w:hAnsi="Times New Roman" w:eastAsia="Times New Roman" w:cs="Times New Roman"/>
        <w:spacing w:val="-3"/>
        <w:sz w:val="18"/>
        <w:szCs w:val="18"/>
      </w:rPr>
      <w:t>27</w:t>
    </w:r>
    <w:r>
      <w:rPr>
        <w:rFonts w:ascii="Times New Roman" w:hAnsi="Times New Roman" w:eastAsia="Times New Roman" w:cs="Times New Roman"/>
        <w:spacing w:val="4"/>
        <w:sz w:val="18"/>
        <w:szCs w:val="18"/>
      </w:rPr>
      <w:t xml:space="preserve">  </w:t>
    </w:r>
    <w:r>
      <w:rPr>
        <w:rFonts w:ascii="宋体" w:hAnsi="宋体" w:eastAsia="宋体" w:cs="宋体"/>
        <w:spacing w:val="-3"/>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56EC5">
    <w:pPr>
      <w:spacing w:line="209" w:lineRule="auto"/>
      <w:ind w:left="4091"/>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10"/>
        <w:sz w:val="18"/>
        <w:szCs w:val="18"/>
      </w:rPr>
      <w:t xml:space="preserve"> </w:t>
    </w:r>
    <w:r>
      <w:rPr>
        <w:rFonts w:ascii="Times New Roman" w:hAnsi="Times New Roman" w:eastAsia="Times New Roman" w:cs="Times New Roman"/>
        <w:spacing w:val="-4"/>
        <w:sz w:val="18"/>
        <w:szCs w:val="18"/>
      </w:rPr>
      <w:t>31</w:t>
    </w:r>
    <w:r>
      <w:rPr>
        <w:rFonts w:ascii="Times New Roman" w:hAnsi="Times New Roman" w:eastAsia="Times New Roman" w:cs="Times New Roman"/>
        <w:spacing w:val="4"/>
        <w:sz w:val="18"/>
        <w:szCs w:val="18"/>
      </w:rPr>
      <w:t xml:space="preserve">  </w:t>
    </w:r>
    <w:r>
      <w:rPr>
        <w:rFonts w:ascii="宋体" w:hAnsi="宋体" w:eastAsia="宋体" w:cs="宋体"/>
        <w:spacing w:val="-4"/>
        <w:sz w:val="18"/>
        <w:szCs w:val="18"/>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6E531D"/>
    <w:rsid w:val="01F52620"/>
    <w:rsid w:val="02962EDE"/>
    <w:rsid w:val="03503D6C"/>
    <w:rsid w:val="04322EB9"/>
    <w:rsid w:val="04347B65"/>
    <w:rsid w:val="05083B6F"/>
    <w:rsid w:val="053E2A66"/>
    <w:rsid w:val="061D614D"/>
    <w:rsid w:val="06DD2008"/>
    <w:rsid w:val="06F02FBE"/>
    <w:rsid w:val="07FD6DF7"/>
    <w:rsid w:val="08A36DF1"/>
    <w:rsid w:val="09670477"/>
    <w:rsid w:val="09A43E33"/>
    <w:rsid w:val="0AD83203"/>
    <w:rsid w:val="0AD96F7B"/>
    <w:rsid w:val="0AF15004"/>
    <w:rsid w:val="0BF75073"/>
    <w:rsid w:val="0C915CF9"/>
    <w:rsid w:val="0D1A7E23"/>
    <w:rsid w:val="0E194378"/>
    <w:rsid w:val="0E543FA7"/>
    <w:rsid w:val="0E6F197A"/>
    <w:rsid w:val="0E80321E"/>
    <w:rsid w:val="0E8520AF"/>
    <w:rsid w:val="0E8536A2"/>
    <w:rsid w:val="0EF80318"/>
    <w:rsid w:val="0F1E4AAF"/>
    <w:rsid w:val="0F357DEB"/>
    <w:rsid w:val="0FDB07CE"/>
    <w:rsid w:val="1004704F"/>
    <w:rsid w:val="10762BDF"/>
    <w:rsid w:val="10D26947"/>
    <w:rsid w:val="122009AF"/>
    <w:rsid w:val="12704669"/>
    <w:rsid w:val="1290609D"/>
    <w:rsid w:val="129C545E"/>
    <w:rsid w:val="12B44329"/>
    <w:rsid w:val="12F13861"/>
    <w:rsid w:val="143A4F2F"/>
    <w:rsid w:val="144F2FB5"/>
    <w:rsid w:val="1513659E"/>
    <w:rsid w:val="155E1FBF"/>
    <w:rsid w:val="157A58FD"/>
    <w:rsid w:val="157E577E"/>
    <w:rsid w:val="158B3E32"/>
    <w:rsid w:val="17391B01"/>
    <w:rsid w:val="188B28E3"/>
    <w:rsid w:val="1A5225DD"/>
    <w:rsid w:val="1A5861A9"/>
    <w:rsid w:val="1A6A7BF0"/>
    <w:rsid w:val="1AC92B69"/>
    <w:rsid w:val="1B932335"/>
    <w:rsid w:val="1BDD3C44"/>
    <w:rsid w:val="1C292AE4"/>
    <w:rsid w:val="1C3F7586"/>
    <w:rsid w:val="1C5D582C"/>
    <w:rsid w:val="1C9F202D"/>
    <w:rsid w:val="1D8951E2"/>
    <w:rsid w:val="1DE27252"/>
    <w:rsid w:val="1E2C535C"/>
    <w:rsid w:val="1EA44D1C"/>
    <w:rsid w:val="21750BB9"/>
    <w:rsid w:val="21FE134A"/>
    <w:rsid w:val="22210E0A"/>
    <w:rsid w:val="22B1131D"/>
    <w:rsid w:val="24363CA5"/>
    <w:rsid w:val="244E37D6"/>
    <w:rsid w:val="248F398A"/>
    <w:rsid w:val="24E75EC4"/>
    <w:rsid w:val="24F20F0E"/>
    <w:rsid w:val="25555A3E"/>
    <w:rsid w:val="25794F64"/>
    <w:rsid w:val="26701E5E"/>
    <w:rsid w:val="26C708A4"/>
    <w:rsid w:val="26E2013A"/>
    <w:rsid w:val="27272151"/>
    <w:rsid w:val="278C672D"/>
    <w:rsid w:val="280A2CD0"/>
    <w:rsid w:val="281B1F07"/>
    <w:rsid w:val="281D224A"/>
    <w:rsid w:val="28EB63A0"/>
    <w:rsid w:val="2928068D"/>
    <w:rsid w:val="29374396"/>
    <w:rsid w:val="29910FDA"/>
    <w:rsid w:val="29DF40EF"/>
    <w:rsid w:val="2AA23D90"/>
    <w:rsid w:val="2AC271DA"/>
    <w:rsid w:val="2AEB6BB7"/>
    <w:rsid w:val="2B63629F"/>
    <w:rsid w:val="2BC65440"/>
    <w:rsid w:val="2CB471D5"/>
    <w:rsid w:val="2DCF09F5"/>
    <w:rsid w:val="2E3F51C4"/>
    <w:rsid w:val="2E6C65AC"/>
    <w:rsid w:val="2EFC7E35"/>
    <w:rsid w:val="2F6E0835"/>
    <w:rsid w:val="30847806"/>
    <w:rsid w:val="313A6169"/>
    <w:rsid w:val="31E3055C"/>
    <w:rsid w:val="321E478D"/>
    <w:rsid w:val="32425718"/>
    <w:rsid w:val="32537490"/>
    <w:rsid w:val="329810D4"/>
    <w:rsid w:val="33C44425"/>
    <w:rsid w:val="33C90985"/>
    <w:rsid w:val="345873FE"/>
    <w:rsid w:val="345968B4"/>
    <w:rsid w:val="354632DC"/>
    <w:rsid w:val="355D7C64"/>
    <w:rsid w:val="35601B5C"/>
    <w:rsid w:val="35B36906"/>
    <w:rsid w:val="35C247F2"/>
    <w:rsid w:val="36A4329F"/>
    <w:rsid w:val="373838CC"/>
    <w:rsid w:val="37565737"/>
    <w:rsid w:val="38190834"/>
    <w:rsid w:val="383832E4"/>
    <w:rsid w:val="38410DFC"/>
    <w:rsid w:val="38766AAA"/>
    <w:rsid w:val="38F00C52"/>
    <w:rsid w:val="394E5ABB"/>
    <w:rsid w:val="39F8091D"/>
    <w:rsid w:val="3A3A3D05"/>
    <w:rsid w:val="3A4B2127"/>
    <w:rsid w:val="3B077069"/>
    <w:rsid w:val="3B30289A"/>
    <w:rsid w:val="3B7D557D"/>
    <w:rsid w:val="3C2F0E1D"/>
    <w:rsid w:val="3C5F4C83"/>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1A225FB"/>
    <w:rsid w:val="422034E7"/>
    <w:rsid w:val="426A3C06"/>
    <w:rsid w:val="426F4017"/>
    <w:rsid w:val="438D13C5"/>
    <w:rsid w:val="44241CD7"/>
    <w:rsid w:val="442742D8"/>
    <w:rsid w:val="44676AFA"/>
    <w:rsid w:val="446F6C9C"/>
    <w:rsid w:val="44B26298"/>
    <w:rsid w:val="44B66409"/>
    <w:rsid w:val="45680BAE"/>
    <w:rsid w:val="457277D5"/>
    <w:rsid w:val="45E85CE9"/>
    <w:rsid w:val="46D544C0"/>
    <w:rsid w:val="47E72C6C"/>
    <w:rsid w:val="47F47107"/>
    <w:rsid w:val="48EC5ABB"/>
    <w:rsid w:val="49203136"/>
    <w:rsid w:val="49FB2F07"/>
    <w:rsid w:val="4A5A3051"/>
    <w:rsid w:val="4A5E657A"/>
    <w:rsid w:val="4B5F6A4E"/>
    <w:rsid w:val="4C16297D"/>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1F1536"/>
    <w:rsid w:val="5A643739"/>
    <w:rsid w:val="5A8738CB"/>
    <w:rsid w:val="5AEE04A2"/>
    <w:rsid w:val="5AF2343A"/>
    <w:rsid w:val="5BCC36DC"/>
    <w:rsid w:val="5C4B6B03"/>
    <w:rsid w:val="5D47454B"/>
    <w:rsid w:val="5D8E4C63"/>
    <w:rsid w:val="5E4D2736"/>
    <w:rsid w:val="5E5139F5"/>
    <w:rsid w:val="5EB87851"/>
    <w:rsid w:val="5EFC4888"/>
    <w:rsid w:val="5F4E3341"/>
    <w:rsid w:val="60250735"/>
    <w:rsid w:val="607C7F1A"/>
    <w:rsid w:val="60F905B4"/>
    <w:rsid w:val="612754C0"/>
    <w:rsid w:val="61503641"/>
    <w:rsid w:val="61774699"/>
    <w:rsid w:val="61924DCC"/>
    <w:rsid w:val="6231187C"/>
    <w:rsid w:val="62D97D14"/>
    <w:rsid w:val="62DC4D1B"/>
    <w:rsid w:val="63471D22"/>
    <w:rsid w:val="63C35930"/>
    <w:rsid w:val="63E13A47"/>
    <w:rsid w:val="647E2B41"/>
    <w:rsid w:val="64D462AF"/>
    <w:rsid w:val="65216151"/>
    <w:rsid w:val="65670581"/>
    <w:rsid w:val="65844F8D"/>
    <w:rsid w:val="6589514F"/>
    <w:rsid w:val="67155C33"/>
    <w:rsid w:val="67E763C9"/>
    <w:rsid w:val="681744E0"/>
    <w:rsid w:val="6853570F"/>
    <w:rsid w:val="688F22C8"/>
    <w:rsid w:val="68F34846"/>
    <w:rsid w:val="691F21D5"/>
    <w:rsid w:val="69AB1384"/>
    <w:rsid w:val="69AE723D"/>
    <w:rsid w:val="6A0B073A"/>
    <w:rsid w:val="6A333703"/>
    <w:rsid w:val="6A5C0800"/>
    <w:rsid w:val="6A815C41"/>
    <w:rsid w:val="6AB76205"/>
    <w:rsid w:val="6B480E55"/>
    <w:rsid w:val="6B783ACA"/>
    <w:rsid w:val="6BE321F3"/>
    <w:rsid w:val="6BEB2905"/>
    <w:rsid w:val="6C613F7C"/>
    <w:rsid w:val="6D0A6409"/>
    <w:rsid w:val="6D3520E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Body Text Indent"/>
    <w:basedOn w:val="1"/>
    <w:next w:val="11"/>
    <w:qFormat/>
    <w:uiPriority w:val="0"/>
    <w:pPr>
      <w:spacing w:after="120"/>
      <w:ind w:left="420" w:leftChars="200"/>
    </w:pPr>
  </w:style>
  <w:style w:type="paragraph" w:styleId="11">
    <w:name w:val="Body Text First Indent 2"/>
    <w:basedOn w:val="10"/>
    <w:next w:val="12"/>
    <w:qFormat/>
    <w:uiPriority w:val="0"/>
    <w:pPr>
      <w:autoSpaceDE/>
      <w:autoSpaceDN/>
      <w:adjustRightInd/>
      <w:ind w:left="0" w:leftChars="0" w:firstLine="420"/>
      <w:jc w:val="both"/>
      <w:textAlignment w:val="auto"/>
    </w:pPr>
    <w:rPr>
      <w:kern w:val="2"/>
      <w:sz w:val="21"/>
      <w:szCs w:val="24"/>
    </w:rPr>
  </w:style>
  <w:style w:type="paragraph" w:styleId="12">
    <w:name w:val="Body Text First Indent"/>
    <w:basedOn w:val="9"/>
    <w:next w:val="1"/>
    <w:semiHidden/>
    <w:unhideWhenUsed/>
    <w:qFormat/>
    <w:uiPriority w:val="99"/>
    <w:pPr>
      <w:ind w:firstLine="420" w:firstLineChars="100"/>
    </w:pPr>
  </w:style>
  <w:style w:type="paragraph" w:styleId="13">
    <w:name w:val="toc 3"/>
    <w:basedOn w:val="1"/>
    <w:next w:val="1"/>
    <w:autoRedefine/>
    <w:qFormat/>
    <w:uiPriority w:val="0"/>
    <w:pPr>
      <w:ind w:left="840" w:leftChars="400"/>
    </w:pPr>
  </w:style>
  <w:style w:type="paragraph" w:styleId="14">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style>
  <w:style w:type="paragraph" w:styleId="18">
    <w:name w:val="toc 2"/>
    <w:basedOn w:val="1"/>
    <w:next w:val="1"/>
    <w:autoRedefine/>
    <w:qFormat/>
    <w:uiPriority w:val="0"/>
    <w:pPr>
      <w:ind w:left="420" w:leftChars="200"/>
    </w:pPr>
  </w:style>
  <w:style w:type="paragraph" w:styleId="19">
    <w:name w:val="Body Text 2"/>
    <w:basedOn w:val="1"/>
    <w:autoRedefine/>
    <w:qFormat/>
    <w:uiPriority w:val="0"/>
    <w:rPr>
      <w:rFonts w:ascii="宋体"/>
      <w:sz w:val="13"/>
      <w:szCs w:val="20"/>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2">
    <w:name w:val="Table Grid"/>
    <w:basedOn w:val="21"/>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0"/>
  </w:style>
  <w:style w:type="paragraph" w:customStyle="1" w:styleId="25">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6">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7">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8">
    <w:name w:val="style4"/>
    <w:basedOn w:val="1"/>
    <w:next w:val="29"/>
    <w:autoRedefine/>
    <w:qFormat/>
    <w:uiPriority w:val="0"/>
    <w:pPr>
      <w:widowControl/>
      <w:spacing w:before="280" w:after="280"/>
    </w:pPr>
    <w:rPr>
      <w:rFonts w:ascii="宋体" w:eastAsia="宋体"/>
      <w:sz w:val="18"/>
    </w:rPr>
  </w:style>
  <w:style w:type="paragraph" w:customStyle="1" w:styleId="29">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30">
    <w:name w:val="Normal_1"/>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1">
    <w:name w:val="标题 3 Char"/>
    <w:qFormat/>
    <w:uiPriority w:val="9"/>
    <w:rPr>
      <w:rFonts w:eastAsia="宋体"/>
      <w:b/>
      <w:bCs/>
      <w:kern w:val="2"/>
      <w:sz w:val="32"/>
      <w:szCs w:val="32"/>
      <w:lang w:val="en-US" w:eastAsia="zh-CN" w:bidi="ar-SA"/>
    </w:r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4481</Words>
  <Characters>4634</Characters>
  <Lines>0</Lines>
  <Paragraphs>0</Paragraphs>
  <TotalTime>0</TotalTime>
  <ScaleCrop>false</ScaleCrop>
  <LinksUpToDate>false</LinksUpToDate>
  <CharactersWithSpaces>5863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2024-12-04T00:51:20Z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ies>
</file>