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D197">
      <w:pPr>
        <w:snapToGrid w:val="0"/>
        <w:spacing w:line="400" w:lineRule="exact"/>
        <w:jc w:val="left"/>
        <w:rPr>
          <w:rFonts w:hint="eastAsia" w:ascii="宋体" w:hAnsi="宋体" w:cs="宋体"/>
          <w:b/>
          <w:bCs/>
          <w:color w:val="auto"/>
          <w:sz w:val="24"/>
        </w:rPr>
      </w:pP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附件1：</w:t>
      </w:r>
      <w:r>
        <w:rPr>
          <w:rFonts w:hint="eastAsia" w:ascii="华文楷体" w:hAnsi="华文楷体" w:eastAsia="华文楷体" w:cs="华文楷体"/>
          <w:b/>
          <w:bCs/>
          <w:color w:val="auto"/>
          <w:kern w:val="2"/>
          <w:sz w:val="28"/>
          <w:szCs w:val="28"/>
          <w:highlight w:val="none"/>
          <w:lang w:val="en-US" w:eastAsia="zh-CN" w:bidi="ar-SA"/>
        </w:rPr>
        <w:t>安宁市第一人民医院消防安全年度检测服务项目(2025-2027年)</w:t>
      </w: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采购需求</w:t>
      </w:r>
      <w:r>
        <w:rPr>
          <w:rFonts w:hint="eastAsia" w:ascii="华文楷体" w:hAnsi="华文楷体" w:eastAsia="华文楷体" w:cs="华文楷体"/>
          <w:b/>
          <w:bCs/>
          <w:color w:val="auto"/>
          <w:sz w:val="28"/>
          <w:szCs w:val="28"/>
          <w:u w:val="none"/>
          <w:shd w:val="clear" w:color="auto" w:fill="FFFFFF"/>
          <w:lang w:eastAsia="zh-CN"/>
        </w:rPr>
        <w:t>；</w:t>
      </w:r>
    </w:p>
    <w:p w14:paraId="3661165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rPr>
      </w:pPr>
      <w:bookmarkStart w:id="5" w:name="_GoBack"/>
      <w:r>
        <w:rPr>
          <w:rFonts w:hint="eastAsia" w:ascii="华文楷体" w:hAnsi="华文楷体" w:eastAsia="华文楷体" w:cs="华文楷体"/>
          <w:b/>
          <w:bCs/>
          <w:sz w:val="24"/>
          <w:szCs w:val="24"/>
          <w:lang w:eastAsia="zh-CN"/>
        </w:rPr>
        <w:t>检测</w:t>
      </w:r>
      <w:r>
        <w:rPr>
          <w:rFonts w:hint="eastAsia" w:ascii="华文楷体" w:hAnsi="华文楷体" w:eastAsia="华文楷体" w:cs="华文楷体"/>
          <w:b/>
          <w:bCs/>
          <w:sz w:val="24"/>
          <w:szCs w:val="24"/>
        </w:rPr>
        <w:t>服务</w:t>
      </w:r>
      <w:r>
        <w:rPr>
          <w:rFonts w:hint="eastAsia" w:ascii="华文楷体" w:hAnsi="华文楷体" w:eastAsia="华文楷体" w:cs="华文楷体"/>
          <w:b/>
          <w:bCs/>
          <w:sz w:val="24"/>
          <w:szCs w:val="24"/>
          <w:lang w:eastAsia="zh-CN"/>
        </w:rPr>
        <w:t>标准</w:t>
      </w:r>
      <w:r>
        <w:rPr>
          <w:rFonts w:hint="eastAsia" w:ascii="华文楷体" w:hAnsi="华文楷体" w:eastAsia="华文楷体" w:cs="华文楷体"/>
          <w:b/>
          <w:bCs/>
          <w:sz w:val="24"/>
          <w:szCs w:val="24"/>
        </w:rPr>
        <w:t>：</w:t>
      </w:r>
    </w:p>
    <w:bookmarkEnd w:id="5"/>
    <w:p w14:paraId="31C5E60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rPr>
      </w:pPr>
      <w:bookmarkStart w:id="0" w:name="_Toc1291"/>
      <w:r>
        <w:rPr>
          <w:rFonts w:hint="eastAsia" w:ascii="华文楷体" w:hAnsi="华文楷体" w:eastAsia="华文楷体" w:cs="华文楷体"/>
          <w:b/>
          <w:bCs/>
          <w:sz w:val="24"/>
          <w:szCs w:val="24"/>
          <w:lang w:val="en-US" w:eastAsia="zh-CN"/>
        </w:rPr>
        <w:t>1.</w:t>
      </w:r>
      <w:r>
        <w:rPr>
          <w:rFonts w:hint="eastAsia" w:ascii="华文楷体" w:hAnsi="华文楷体" w:eastAsia="华文楷体" w:cs="华文楷体"/>
          <w:b/>
          <w:bCs/>
          <w:sz w:val="24"/>
          <w:szCs w:val="24"/>
        </w:rPr>
        <w:t>火灾自动报警系统</w:t>
      </w:r>
      <w:bookmarkEnd w:id="0"/>
    </w:p>
    <w:p w14:paraId="67D203E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火灾报警控制器是火灾自动报警系统的心脏，是工作的重点，所以在人员分散前应对消防控制室及火灾报警控制器进行认真细致的检测。</w:t>
      </w:r>
    </w:p>
    <w:p w14:paraId="54B5EAC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火灾报警系统的传输网络不应与其他系统的传输网络合用。</w:t>
      </w:r>
    </w:p>
    <w:p w14:paraId="136E561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消防控制室</w:t>
      </w:r>
    </w:p>
    <w:p w14:paraId="7C8ACB0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a 设置应符合国家现行的防火规范的规定。</w:t>
      </w:r>
    </w:p>
    <w:p w14:paraId="241B07B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b 送、回风管，在其穿墙处应设防火阀。其内严禁与其无关的电气线路及管道穿过。</w:t>
      </w:r>
    </w:p>
    <w:p w14:paraId="0FA979E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c 应设应急照明灯，且照度不低于150LX。其温、湿度应满足所放设备对环境的要求</w:t>
      </w:r>
    </w:p>
    <w:p w14:paraId="27E7D2B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d 应设置外线电话。</w:t>
      </w:r>
    </w:p>
    <w:p w14:paraId="1727A6C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e 控制中心报警系统应设置火灾应急广播，集中报警系统宜设置火灾应急广播。</w:t>
      </w:r>
    </w:p>
    <w:p w14:paraId="6DD3A0D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f 未设置火灾应急广播的火灾自动报警系统，应设置火灾警报装置。</w:t>
      </w:r>
    </w:p>
    <w:p w14:paraId="35E4A4C8">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g 入口处有明显标志，门应向疏散方向开启。应有消防平面图或模拟图。</w:t>
      </w:r>
    </w:p>
    <w:p w14:paraId="23E6A33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探测器在检测完控制室后 留一人在控制器处余下之人去检测火灾探测器。</w:t>
      </w:r>
    </w:p>
    <w:p w14:paraId="77A861B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a 看火灾探测器的安装位置。</w:t>
      </w:r>
    </w:p>
    <w:p w14:paraId="078C048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b 探测器的外观。</w:t>
      </w:r>
    </w:p>
    <w:p w14:paraId="5F939B4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c 手感探测器的牢固程度。</w:t>
      </w:r>
    </w:p>
    <w:p w14:paraId="390C26E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d 测量其距端墙距离。并记录（小于安装间距的一半）</w:t>
      </w:r>
    </w:p>
    <w:p w14:paraId="6257C53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e 看其确认灯的方向。</w:t>
      </w:r>
    </w:p>
    <w:p w14:paraId="407AEB2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f 用烟杆或温杆对其测试，探测器要在报警同时，启动探测器确认灯。</w:t>
      </w:r>
    </w:p>
    <w:p w14:paraId="6820523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val="en-US" w:eastAsia="zh-CN"/>
        </w:rPr>
        <w:t>2.消火栓</w:t>
      </w:r>
      <w:r>
        <w:rPr>
          <w:rFonts w:hint="eastAsia" w:ascii="华文楷体" w:hAnsi="华文楷体" w:eastAsia="华文楷体" w:cs="华文楷体"/>
          <w:b/>
          <w:bCs/>
          <w:sz w:val="24"/>
          <w:szCs w:val="24"/>
        </w:rPr>
        <w:t>系统</w:t>
      </w:r>
    </w:p>
    <w:p w14:paraId="2C92C83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看消火栓箱的位置是否与图纸一致。</w:t>
      </w:r>
    </w:p>
    <w:p w14:paraId="068DF2B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看消火栓的组件是否齐全。</w:t>
      </w:r>
    </w:p>
    <w:p w14:paraId="033DF2E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栓口的方向与地面的距离、与箱底边的距离、与近箱侧边的距离、与封挡玻璃的距离，测量并记录。</w:t>
      </w:r>
    </w:p>
    <w:p w14:paraId="25AD911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按下消火栓按钮 能启动消防 喷淋 泵。并在控制器上有显示。</w:t>
      </w:r>
    </w:p>
    <w:p w14:paraId="309B843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消火栓按钮有保护措施。</w:t>
      </w:r>
    </w:p>
    <w:p w14:paraId="303F458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各喷头的安装质量。各喷头的安装间距应符合要求。喷头与隔断墙、梁柱间的距离符合技术要求。</w:t>
      </w:r>
    </w:p>
    <w:p w14:paraId="7353619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3.自动喷水灭火系统</w:t>
      </w:r>
    </w:p>
    <w:p w14:paraId="6DCE7A8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泵房是整个水灭火系统的心脏，应集中起来共同细致的检测。</w:t>
      </w:r>
    </w:p>
    <w:p w14:paraId="6B6A72E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1）先分散到水泵接合器、室外消火栓处对其检测。</w:t>
      </w:r>
    </w:p>
    <w:p w14:paraId="089DDC0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a 地下式的水泵接合器应有防水，防锈措施，四阀齐全，其接口距地面≤0.45m。</w:t>
      </w:r>
    </w:p>
    <w:p w14:paraId="539FD3D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b 地上式的水泵接合器，其接口距地宜为0.7m。</w:t>
      </w:r>
    </w:p>
    <w:p w14:paraId="287335E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c 测试室外消火栓是否有压力，并记录。测量其与水泵接合器的距离，并记录。</w:t>
      </w:r>
    </w:p>
    <w:p w14:paraId="22D7156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d 消防水池的取水口距最近建筑物边墙距离在5＜L＜100m之间，并测量记录。消防水池的体积符合要求，消防水池的取水口深度6＜m。2）室内部分室内部分分下、中、上三个分部。</w:t>
      </w:r>
    </w:p>
    <w:p w14:paraId="0195585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a 下：消防（喷淋、雨淋）泵</w:t>
      </w:r>
    </w:p>
    <w:p w14:paraId="0AA0786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湿式（干式）报警阀组</w:t>
      </w:r>
    </w:p>
    <w:p w14:paraId="5804D45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看其组件是否完整。</w:t>
      </w:r>
    </w:p>
    <w:p w14:paraId="09A1049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测量报警阀到侧墙的距离≥0.5m。距地高度宜为1.2m正面距墙为1.2m。</w:t>
      </w:r>
    </w:p>
    <w:p w14:paraId="21B66FF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报警阀地面上有相应的排水措施。</w:t>
      </w:r>
    </w:p>
    <w:p w14:paraId="1DF5898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当有两个或两个以上的报警阀时，进水管应为环状。</w:t>
      </w:r>
    </w:p>
    <w:p w14:paraId="31CAB84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水力警铃的安装位置及其连接管径应符合要求。</w:t>
      </w:r>
    </w:p>
    <w:p w14:paraId="013A9CE8">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打开湿式报警阀组的试验阀。看水力警铃在5-90s内是否能连续报警，并在其3m远处测量其声强≥70dB 。</w:t>
      </w:r>
    </w:p>
    <w:p w14:paraId="5FE20981">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打开试验阀时，压力开关有动作。水力警铃报警。</w:t>
      </w:r>
    </w:p>
    <w:p w14:paraId="6F9FCD0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关闭总控制阀，水力警铃停止动作。压力开关停止动作，延迟器无出水。</w:t>
      </w:r>
    </w:p>
    <w:p w14:paraId="3828AE0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用秒表测量延迟器的排水时间 （≤5min ）</w:t>
      </w:r>
    </w:p>
    <w:p w14:paraId="7E03DBD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打开和关闭报警阀门，报警阀上的前后压力表应动作一致，且指示正常。</w:t>
      </w:r>
    </w:p>
    <w:p w14:paraId="16B8401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各消防管道应固定牢靠，且有红色环道标记。</w:t>
      </w:r>
    </w:p>
    <w:p w14:paraId="0A6BAC5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消防水箱</w:t>
      </w:r>
    </w:p>
    <w:p w14:paraId="069E8C1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容积符合建筑要求，测量长、宽、高算容积。</w:t>
      </w:r>
    </w:p>
    <w:p w14:paraId="3F2776E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水箱距箱墙距离测量与各边墙的距离并记录&gt;0.7m</w:t>
      </w:r>
    </w:p>
    <w:p w14:paraId="1ACAAFA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与建筑物顶部的距离。量与建筑物顶部最低点的距离&gt;0.6 m。</w:t>
      </w:r>
    </w:p>
    <w:p w14:paraId="2BF96E5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看水箱是否有保证消防用水的措施，是否有水位指示器。</w:t>
      </w:r>
    </w:p>
    <w:p w14:paraId="71CAA1F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管道穿过水箱时宜直接焊接，且在焊接处做防锈处理。</w:t>
      </w:r>
    </w:p>
    <w:p w14:paraId="771490B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消防管道的阀门应是常开的。</w:t>
      </w:r>
    </w:p>
    <w:p w14:paraId="5821239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联动试验</w:t>
      </w:r>
    </w:p>
    <w:p w14:paraId="3E0EC79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打开末端试验装置。</w:t>
      </w:r>
    </w:p>
    <w:p w14:paraId="60D0FC4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增压装置启动。</w:t>
      </w:r>
    </w:p>
    <w:p w14:paraId="28CCE4A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水流指示器动作 湿式报警阀打开。</w:t>
      </w:r>
    </w:p>
    <w:p w14:paraId="2855F25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控制室有信号显示。</w:t>
      </w:r>
    </w:p>
    <w:p w14:paraId="3F482DC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水力警铃动作。</w:t>
      </w:r>
    </w:p>
    <w:p w14:paraId="2464101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泵启动。</w:t>
      </w:r>
    </w:p>
    <w:p w14:paraId="2B2D37B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 增压装置停止运行。</w:t>
      </w:r>
      <w:bookmarkStart w:id="1" w:name="_Toc5992"/>
    </w:p>
    <w:p w14:paraId="1645964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val="en-US" w:eastAsia="zh-CN"/>
        </w:rPr>
        <w:t>4.</w:t>
      </w:r>
      <w:r>
        <w:rPr>
          <w:rFonts w:hint="eastAsia" w:ascii="华文楷体" w:hAnsi="华文楷体" w:eastAsia="华文楷体" w:cs="华文楷体"/>
          <w:b/>
          <w:bCs/>
          <w:sz w:val="24"/>
          <w:szCs w:val="24"/>
        </w:rPr>
        <w:t>防火卷帘、防火门</w:t>
      </w:r>
      <w:bookmarkEnd w:id="1"/>
    </w:p>
    <w:p w14:paraId="55AB465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疏散通道上的防火卷帘，应分两步动作，用作防火分隔的防火卷帘，应一步到位。</w:t>
      </w:r>
    </w:p>
    <w:p w14:paraId="167A8DF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1）防火卷帘</w:t>
      </w:r>
    </w:p>
    <w:p w14:paraId="40AAC00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a 防火卷帘的安装位置，应符合设计要求。</w:t>
      </w:r>
    </w:p>
    <w:p w14:paraId="229F996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b 防火卷帘的外观应完好。</w:t>
      </w:r>
    </w:p>
    <w:p w14:paraId="509BCB4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c 防火卷帘的安装质量应良好。</w:t>
      </w:r>
    </w:p>
    <w:p w14:paraId="69D4943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d 防火卷帘的水平直度符合要求。</w:t>
      </w:r>
    </w:p>
    <w:p w14:paraId="14B8AF0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e 防火卷帘卷轴的平行引度符合要求。</w:t>
      </w:r>
    </w:p>
    <w:p w14:paraId="712A942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f 防火卷帘开降速度符合要求。</w:t>
      </w:r>
    </w:p>
    <w:p w14:paraId="659BBF0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g 应急操作时，将拉力弹簧的挂钩挂在手拉链或摇把上测手拉链力≤150N 手摇力≤50N。并记录。</w:t>
      </w:r>
    </w:p>
    <w:p w14:paraId="5F09C3C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2）防火门</w:t>
      </w:r>
    </w:p>
    <w:p w14:paraId="48F6FED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消防控制设备对常开的防火门的控制门任一侧的火灾探测器报警后，防火门应自动关闭。</w:t>
      </w:r>
    </w:p>
    <w:p w14:paraId="37B77D4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外观应完整</w:t>
      </w:r>
    </w:p>
    <w:p w14:paraId="4719B5B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其材料及配件应齐全。</w:t>
      </w:r>
    </w:p>
    <w:p w14:paraId="3781E4E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采用合页 不得采用双向弹簧作用的合页。</w:t>
      </w:r>
    </w:p>
    <w:p w14:paraId="432384C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单扇门应设置能自动关闭的闭门器。</w:t>
      </w:r>
    </w:p>
    <w:p w14:paraId="6A816241">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双扇门的中缝有盖缝板，并有闭门器和顺序器。</w:t>
      </w:r>
    </w:p>
    <w:p w14:paraId="6292C51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应采用与门相同耐火等级的防火玻璃。</w:t>
      </w:r>
    </w:p>
    <w:p w14:paraId="30E0A27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 启动释放开关 看门关闭后的情况并记录。</w:t>
      </w:r>
      <w:bookmarkStart w:id="2" w:name="_Toc1279"/>
    </w:p>
    <w:p w14:paraId="0A3239A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5.</w:t>
      </w:r>
      <w:r>
        <w:rPr>
          <w:rFonts w:hint="eastAsia" w:ascii="华文楷体" w:hAnsi="华文楷体" w:eastAsia="华文楷体" w:cs="华文楷体"/>
          <w:b/>
          <w:bCs/>
          <w:sz w:val="24"/>
          <w:szCs w:val="24"/>
        </w:rPr>
        <w:t>防排烟</w:t>
      </w:r>
      <w:bookmarkEnd w:id="2"/>
      <w:r>
        <w:rPr>
          <w:rFonts w:hint="eastAsia" w:ascii="华文楷体" w:hAnsi="华文楷体" w:eastAsia="华文楷体" w:cs="华文楷体"/>
          <w:b/>
          <w:bCs/>
          <w:sz w:val="24"/>
          <w:szCs w:val="24"/>
          <w:lang w:val="en-US" w:eastAsia="zh-CN"/>
        </w:rPr>
        <w:t>系统</w:t>
      </w:r>
    </w:p>
    <w:p w14:paraId="755CE36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1）送风</w:t>
      </w:r>
    </w:p>
    <w:p w14:paraId="03CBE408">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看加压送风口的位置应符合规范要求。</w:t>
      </w:r>
    </w:p>
    <w:p w14:paraId="16BC0CD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看送风管道的材料是否为不燃材料，内部是否光滑，其隔热层是否采用不燃材料制作。</w:t>
      </w:r>
    </w:p>
    <w:p w14:paraId="3D8FD35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试验加压送风阀应能手动、电动及远距离开启，并能手动复位。</w:t>
      </w:r>
    </w:p>
    <w:p w14:paraId="1888D36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用风速仪测量送风口的风速≤7m/s。</w:t>
      </w:r>
    </w:p>
    <w:p w14:paraId="34AD232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风机有主备电源，且切换正常。</w:t>
      </w:r>
    </w:p>
    <w:p w14:paraId="5F42EA1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风机启动后运转正常。</w:t>
      </w:r>
    </w:p>
    <w:p w14:paraId="1D7F9D4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 风机现场，远程启停正常。</w:t>
      </w:r>
    </w:p>
    <w:p w14:paraId="22963FA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⑧ 用微压计分别测试相关部位的余压值。</w:t>
      </w:r>
    </w:p>
    <w:p w14:paraId="049563C8">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2）排烟</w:t>
      </w:r>
    </w:p>
    <w:p w14:paraId="2696356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用风速仪测定排烟口风速≤10m/s。</w:t>
      </w:r>
    </w:p>
    <w:p w14:paraId="67F10C4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排烟风机的风量符合设计要求。</w:t>
      </w:r>
    </w:p>
    <w:p w14:paraId="66287D6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 排烟口的位置符合设计要求。</w:t>
      </w:r>
    </w:p>
    <w:p w14:paraId="75311A0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 排烟口平时应处于关闭状态 并没有手动和自动开启装置可手动复位 其手动开启高度符合要求。</w:t>
      </w:r>
    </w:p>
    <w:p w14:paraId="7A5A0C0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 防火阀的位置符合设计要求。</w:t>
      </w:r>
    </w:p>
    <w:p w14:paraId="41E4273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 防火阀平时是开启的。</w:t>
      </w:r>
    </w:p>
    <w:p w14:paraId="513A748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⑦ 手动、电动关闭时 动作正常 手动可以复位。</w:t>
      </w:r>
    </w:p>
    <w:p w14:paraId="20B6105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3）系统联动</w:t>
      </w:r>
    </w:p>
    <w:p w14:paraId="739A2BE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 手动开启任一送风口，排烟口，控制室有信号，确认后，风机启动，该分区的所用通风设备，空调设备及相关的防火阀能关闭。</w:t>
      </w:r>
    </w:p>
    <w:p w14:paraId="3FEC578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 用火灾探测器报警，观察送风口风机，空调，防火阀的动作情况是否正常。</w:t>
      </w:r>
      <w:bookmarkStart w:id="3" w:name="_Toc31008"/>
    </w:p>
    <w:p w14:paraId="7598E36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rPr>
      </w:pPr>
      <w:r>
        <w:rPr>
          <w:rFonts w:hint="eastAsia" w:ascii="华文楷体" w:hAnsi="华文楷体" w:eastAsia="华文楷体" w:cs="华文楷体"/>
          <w:b/>
          <w:bCs/>
          <w:sz w:val="24"/>
          <w:szCs w:val="24"/>
          <w:lang w:val="en-US" w:eastAsia="zh-CN"/>
        </w:rPr>
        <w:t>6.</w:t>
      </w:r>
      <w:r>
        <w:rPr>
          <w:rFonts w:hint="eastAsia" w:ascii="华文楷体" w:hAnsi="华文楷体" w:eastAsia="华文楷体" w:cs="华文楷体"/>
          <w:b/>
          <w:bCs/>
          <w:sz w:val="24"/>
          <w:szCs w:val="24"/>
        </w:rPr>
        <w:t>气体灭火系统</w:t>
      </w:r>
      <w:bookmarkEnd w:id="3"/>
    </w:p>
    <w:p w14:paraId="74D9147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1）瓶组与储罐</w:t>
      </w:r>
    </w:p>
    <w:p w14:paraId="11D13C0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①储罐及其组件应固定牢固,手动操作装置的铅封应完好,压力表正面应朝向操作面且压力显示处于设计允许范围值内。</w:t>
      </w:r>
    </w:p>
    <w:p w14:paraId="0F9BE19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②储罐上应注明灭火剂名称和编号,灭火剂驱动装置和选择阀应有明显的分区标志牌且标示正确、清晰 选择阀手动启闭应灵活。</w:t>
      </w:r>
    </w:p>
    <w:p w14:paraId="07F659E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③带有承重装置的储罐,其称重装置应正常,并应有原始重量标记。</w:t>
      </w:r>
    </w:p>
    <w:p w14:paraId="787996D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④高压二氧化碳储罐在灭火剂的失重量达到设定值时,应能发出报警信号。</w:t>
      </w:r>
    </w:p>
    <w:p w14:paraId="0A9026C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⑤低压二氧化碳储罐的制冷装置应正常运行,温度和压力的控制值应符合设定值,储罐上应设置有安全泄压装置。</w:t>
      </w:r>
    </w:p>
    <w:p w14:paraId="59E7324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⑥储罐的存放位置及环境应符合其安全、正常运行的要求。</w:t>
      </w:r>
    </w:p>
    <w:p w14:paraId="42A0BC9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2）喷嘴</w:t>
      </w:r>
    </w:p>
    <w:p w14:paraId="71A7849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①喷嘴的型号规格符合设计要求,喷口方向应正确、无堵塞现象。</w:t>
      </w:r>
    </w:p>
    <w:p w14:paraId="138380A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②喷嘴应有表示其型号、规格的永久性标志。</w:t>
      </w:r>
    </w:p>
    <w:p w14:paraId="46BA5BC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③对于多尘或腐蚀性场所,喷头应有相应的防护措施。3）气体灭火控制器</w:t>
      </w:r>
    </w:p>
    <w:p w14:paraId="7C4978C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①气体灭火控制器的技术要求应符合报警设备规范的要求。</w:t>
      </w:r>
    </w:p>
    <w:p w14:paraId="1B7DA17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②自动、手动转换功能应正常，手动操作启动方式在灭火控制器处于自动或手动状态时均可实现。</w:t>
      </w:r>
    </w:p>
    <w:p w14:paraId="65487E4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③灭火控制方式所处状态应有明显的标志或灯光显示,反馈信号显示应正确。</w:t>
      </w:r>
    </w:p>
    <w:p w14:paraId="09BE92D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系统功能</w:t>
      </w:r>
    </w:p>
    <w:p w14:paraId="7B46146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①防护区内及其入口处的声光报警装置和入口处的安全标志、紧急启停按钮应正常。</w:t>
      </w:r>
    </w:p>
    <w:p w14:paraId="19AAC97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②火灾报警控制器确认火灾报警后的延时启动时间应符合设定值。出报告</w:t>
      </w:r>
      <w:bookmarkStart w:id="4" w:name="_Toc2529"/>
    </w:p>
    <w:p w14:paraId="6EC268D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7.</w:t>
      </w:r>
      <w:r>
        <w:rPr>
          <w:rFonts w:hint="eastAsia" w:ascii="华文楷体" w:hAnsi="华文楷体" w:eastAsia="华文楷体" w:cs="华文楷体"/>
          <w:b/>
          <w:bCs/>
          <w:sz w:val="24"/>
          <w:szCs w:val="24"/>
        </w:rPr>
        <w:t>应急照明和疏散指示</w:t>
      </w:r>
      <w:bookmarkEnd w:id="4"/>
      <w:r>
        <w:rPr>
          <w:rFonts w:hint="eastAsia" w:ascii="华文楷体" w:hAnsi="华文楷体" w:eastAsia="华文楷体" w:cs="华文楷体"/>
          <w:b/>
          <w:bCs/>
          <w:sz w:val="24"/>
          <w:szCs w:val="24"/>
          <w:lang w:val="en-US" w:eastAsia="zh-CN"/>
        </w:rPr>
        <w:t>系统</w:t>
      </w:r>
    </w:p>
    <w:p w14:paraId="42F559D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1）消防应急标志灯具检测项目</w:t>
      </w:r>
    </w:p>
    <w:p w14:paraId="3406B86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1.标志灯具的颜色、标志信息应符国家标准《消防应急照明和疏散指示系统》GB17945的要求，指示方向应与设计方向一致。</w:t>
      </w:r>
    </w:p>
    <w:p w14:paraId="7254EE8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2.使用的电池应与国家有关市场准入制度中的有效证明文件相符。</w:t>
      </w:r>
    </w:p>
    <w:p w14:paraId="76FAD76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3.状态指示灯指示应正常。</w:t>
      </w:r>
    </w:p>
    <w:p w14:paraId="3D216B5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2）消防应急照明灯具检测项目</w:t>
      </w:r>
    </w:p>
    <w:p w14:paraId="3D608962">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1.照明灯具的光源及隔热情况应符合要求。</w:t>
      </w:r>
    </w:p>
    <w:p w14:paraId="030B4F5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2.使用的电池应与有效证明文件相符。</w:t>
      </w:r>
    </w:p>
    <w:p w14:paraId="4ADF331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3．状态指示灯应正常。</w:t>
      </w:r>
    </w:p>
    <w:p w14:paraId="7F40208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4.连续3次按试验按钮，标志灯具应能完成自动转换。</w:t>
      </w:r>
    </w:p>
    <w:p w14:paraId="472183C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3）应急照明集中电源检测项目</w:t>
      </w:r>
    </w:p>
    <w:p w14:paraId="5A83B07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1.检查安装场所应符合要求。</w:t>
      </w:r>
    </w:p>
    <w:p w14:paraId="33C71D91">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2.供电应符合设计要求。</w:t>
      </w:r>
    </w:p>
    <w:p w14:paraId="351BECB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3.应急工作时间应不小于其本身标称的应急工作时间。</w:t>
      </w:r>
    </w:p>
    <w:p w14:paraId="511D57B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4.输出线路、分配电装置、输出电源负载应与设计相符，且不应连接与应急照明和疏散指示无关的负载或插座。</w:t>
      </w:r>
    </w:p>
    <w:p w14:paraId="505B5DF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5.应急照明集中电源应设主电和应急电源状态指示灯，主电状态用绿色，应急状态用红色。</w:t>
      </w:r>
    </w:p>
    <w:p w14:paraId="472E7E0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4）应急照明控制器检测项目</w:t>
      </w:r>
    </w:p>
    <w:p w14:paraId="0D647F13">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1.应急照明控制器应安装在消防控制室或值班室内。</w:t>
      </w:r>
    </w:p>
    <w:p w14:paraId="7B498F9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2.应急照明控制器应能控制并显示与其相连的所有消防应急灯具的工作状态，并显示应急启动时间。</w:t>
      </w:r>
    </w:p>
    <w:p w14:paraId="21B808D0">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3.应急照明控制器应能防止非专业人员操作。</w:t>
      </w:r>
    </w:p>
    <w:p w14:paraId="3A9BABE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4.应急照明控制器在与其相连的消防应急灯具之间的连接线开路、短路(短路时消防应急灯具转入应急状态除外)时，应发出声、光故障信号，并指示故障部位。声故障信号应能手动消除，当有新的故障信号时，声故障信号应能再启动。光故障信号在故障排除前应保持。</w:t>
      </w:r>
    </w:p>
    <w:p w14:paraId="0B1F2D3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5.应急照明控制器应有主、备用电源的工作状态指示，并能实现主、备用电源的自动转换。且备用电源应能保证应急照明控制器正常工作2h。</w:t>
      </w:r>
    </w:p>
    <w:p w14:paraId="0837DC7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标志牌的检测应符合相关标志牌安装内容的要求。</w:t>
      </w:r>
    </w:p>
    <w:p w14:paraId="6DC20F4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1.非集中控制型系统的应急控制</w:t>
      </w:r>
    </w:p>
    <w:p w14:paraId="5298EFDD">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（1）未设置火灾自动报警系统的场所，系统应在正常照明中断后转入应急工作状态；</w:t>
      </w:r>
    </w:p>
    <w:p w14:paraId="1B96990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设置火灾自动报警系统的场所，自带电源非集中控制型系统应由火灾自动报警系统联动各应急照明配电箱实现工作状态的转换；集中电源非集中控制型系统应由火灾自动报警系统联动各应急照明集中电源和应急照明分配电装置实现工作状态的转换。</w:t>
      </w:r>
    </w:p>
    <w:p w14:paraId="1985D814">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2.集中控制型系统的应急控制</w:t>
      </w:r>
    </w:p>
    <w:p w14:paraId="73064A9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（1）应急照明控制器应能接收火灾自动报警系统的火灾报警信号或联动控制信号，并控制相应的消防应急灯具转入应急工作状态；</w:t>
      </w:r>
    </w:p>
    <w:p w14:paraId="40090DF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（2）自带电源集中控制型系统，应由应急照明控制器控制系统内的应急照明配电箱和相应的消防应急灯具及其它附件实现工作状态转换；</w:t>
      </w:r>
    </w:p>
    <w:p w14:paraId="4DF016E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lang w:val="en-US" w:eastAsia="zh-CN"/>
        </w:rPr>
        <w:t>（3）集中电源集中控制型系统，由应急照明控制器控制系统内应急照明集中电源、应急照明分配电装置和相应的消防应急灯具及其它附件实现工作状态转换；</w:t>
      </w:r>
    </w:p>
    <w:p w14:paraId="6648341F">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b/>
          <w:bCs/>
          <w:sz w:val="24"/>
          <w:szCs w:val="24"/>
          <w:lang w:eastAsia="zh-CN"/>
        </w:rPr>
      </w:pPr>
      <w:r>
        <w:rPr>
          <w:rFonts w:hint="eastAsia" w:ascii="华文楷体" w:hAnsi="华文楷体" w:eastAsia="华文楷体" w:cs="华文楷体"/>
          <w:b/>
          <w:bCs/>
          <w:sz w:val="24"/>
          <w:szCs w:val="24"/>
          <w:lang w:val="en-US" w:eastAsia="zh-CN"/>
        </w:rPr>
        <w:t>8.灭火器（约1860个）</w:t>
      </w:r>
    </w:p>
    <w:p w14:paraId="64D4CBF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1）</w:t>
      </w:r>
      <w:r>
        <w:rPr>
          <w:rFonts w:hint="eastAsia" w:ascii="华文楷体" w:hAnsi="华文楷体" w:eastAsia="华文楷体" w:cs="华文楷体"/>
          <w:sz w:val="24"/>
          <w:szCs w:val="24"/>
        </w:rPr>
        <w:t>外观检查</w:t>
      </w:r>
    </w:p>
    <w:p w14:paraId="0031E90A">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1.灭火器关于灭火剂、驱动气体的种类以及充装压力、总质量、灭火级别、制造厂名和生产日期等标志及操作说明是否无残缺、清晰明了。</w:t>
      </w:r>
    </w:p>
    <w:p w14:paraId="1E6EF9B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2.灭火器出厂年月、水压试验压力应以永久性标识（钢印）打在灭火器不受内压的底圈或颈圈等处。</w:t>
      </w:r>
    </w:p>
    <w:p w14:paraId="6AAE382E">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3.维修日期标识是否清晰、完好。</w:t>
      </w:r>
    </w:p>
    <w:p w14:paraId="73F7EFB5">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4.灭火器的零部件是否齐全,无松动、脱落或损伤;铅封、销门等保险装置是否损坏或遗失;喷射软管是否完好,是否无明显龟裂;喷嘴是否堵塞。</w:t>
      </w:r>
    </w:p>
    <w:p w14:paraId="672016BC">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5.灭火器的筒体是否无明显的损伤(磕伤、划伤)、缺陷、锈蚀（特别是筒底和焊缝）。</w:t>
      </w:r>
    </w:p>
    <w:p w14:paraId="2B14B3C7">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6.灭火器的驱动气体压力是否在工作压力范围内（储压式灭火器查看压力指示器是否指示在绿区范围内;二氧化碳灭火器和作者气瓶式灭火器可用称重去检查)</w:t>
      </w:r>
    </w:p>
    <w:p w14:paraId="3767E35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7.灭火器是否被使用过。</w:t>
      </w:r>
    </w:p>
    <w:p w14:paraId="4F70522B">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2）</w:t>
      </w:r>
      <w:r>
        <w:rPr>
          <w:rFonts w:hint="eastAsia" w:ascii="华文楷体" w:hAnsi="华文楷体" w:eastAsia="华文楷体" w:cs="华文楷体"/>
          <w:sz w:val="24"/>
          <w:szCs w:val="24"/>
        </w:rPr>
        <w:t>性能检查</w:t>
      </w:r>
    </w:p>
    <w:p w14:paraId="0CFBA916">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r>
        <w:rPr>
          <w:rFonts w:hint="eastAsia" w:ascii="华文楷体" w:hAnsi="华文楷体" w:eastAsia="华文楷体" w:cs="华文楷体"/>
          <w:sz w:val="24"/>
          <w:szCs w:val="24"/>
        </w:rPr>
        <w:t>条件许可时，随机选择1-2具不同类型的灭火器进行实际喷射，测试灭火器效果及有效喷射时间是否符合产品要求。</w:t>
      </w:r>
    </w:p>
    <w:p w14:paraId="4D6F5269">
      <w:pPr>
        <w:keepLines w:val="0"/>
        <w:pageBreakBefore w:val="0"/>
        <w:widowControl w:val="0"/>
        <w:kinsoku/>
        <w:wordWrap/>
        <w:overflowPunct/>
        <w:topLinePunct w:val="0"/>
        <w:autoSpaceDE/>
        <w:autoSpaceDN/>
        <w:bidi w:val="0"/>
        <w:snapToGrid/>
        <w:spacing w:line="500" w:lineRule="exact"/>
        <w:rPr>
          <w:rFonts w:hint="eastAsia" w:ascii="华文楷体" w:hAnsi="华文楷体" w:eastAsia="华文楷体" w:cs="华文楷体"/>
          <w:sz w:val="24"/>
          <w:szCs w:val="24"/>
        </w:rPr>
      </w:pPr>
    </w:p>
    <w:p w14:paraId="6B3D9FE1">
      <w:pPr>
        <w:pStyle w:val="11"/>
        <w:keepLines w:val="0"/>
        <w:pageBreakBefore w:val="0"/>
        <w:widowControl w:val="0"/>
        <w:kinsoku/>
        <w:wordWrap/>
        <w:overflowPunct/>
        <w:topLinePunct w:val="0"/>
        <w:autoSpaceDE/>
        <w:autoSpaceDN/>
        <w:bidi w:val="0"/>
        <w:snapToGrid/>
        <w:spacing w:before="0" w:beforeAutospacing="0" w:after="0" w:afterAutospacing="0" w:line="500" w:lineRule="exact"/>
        <w:rPr>
          <w:rStyle w:val="14"/>
          <w:rFonts w:hint="eastAsia" w:ascii="华文楷体" w:hAnsi="华文楷体" w:eastAsia="华文楷体" w:cs="华文楷体"/>
          <w:b w:val="0"/>
          <w:sz w:val="24"/>
          <w:szCs w:val="24"/>
          <w:lang w:eastAsia="zh-CN"/>
        </w:rPr>
      </w:pPr>
    </w:p>
    <w:p w14:paraId="3D532A25"/>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65C7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D0AF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7"/>
      <w:lvlText w:val="%1"/>
      <w:lvlJc w:val="left"/>
      <w:pPr>
        <w:tabs>
          <w:tab w:val="left" w:pos="360"/>
        </w:tabs>
        <w:ind w:left="284" w:hanging="284"/>
      </w:pPr>
      <w:rPr>
        <w:rFonts w:hint="default" w:ascii="Times New Roman" w:hAnsi="Times New Roman"/>
        <w:b/>
        <w:i w:val="0"/>
        <w:sz w:val="28"/>
      </w:rPr>
    </w:lvl>
    <w:lvl w:ilvl="1" w:tentative="0">
      <w:start w:val="1"/>
      <w:numFmt w:val="decimal"/>
      <w:pStyle w:val="8"/>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4A5E1A"/>
    <w:rsid w:val="020F0807"/>
    <w:rsid w:val="044C330C"/>
    <w:rsid w:val="084468EA"/>
    <w:rsid w:val="0A43064D"/>
    <w:rsid w:val="0B961788"/>
    <w:rsid w:val="0BED0F30"/>
    <w:rsid w:val="104222BC"/>
    <w:rsid w:val="134B1AEF"/>
    <w:rsid w:val="1BEC4B29"/>
    <w:rsid w:val="1BEC6B0F"/>
    <w:rsid w:val="20396EE7"/>
    <w:rsid w:val="22A52EE6"/>
    <w:rsid w:val="24614C26"/>
    <w:rsid w:val="28363D32"/>
    <w:rsid w:val="2F713AA3"/>
    <w:rsid w:val="3B4200A1"/>
    <w:rsid w:val="3F621BB4"/>
    <w:rsid w:val="40B959C1"/>
    <w:rsid w:val="4AFB1CF7"/>
    <w:rsid w:val="4AFB323E"/>
    <w:rsid w:val="4EBD75BF"/>
    <w:rsid w:val="4F0D2FED"/>
    <w:rsid w:val="504F0E3F"/>
    <w:rsid w:val="52D553B1"/>
    <w:rsid w:val="564B37CF"/>
    <w:rsid w:val="583F24EE"/>
    <w:rsid w:val="589F492D"/>
    <w:rsid w:val="59E32D64"/>
    <w:rsid w:val="5E3E6996"/>
    <w:rsid w:val="5FA840C8"/>
    <w:rsid w:val="60457B68"/>
    <w:rsid w:val="60AC408B"/>
    <w:rsid w:val="647C3D75"/>
    <w:rsid w:val="662D17CA"/>
    <w:rsid w:val="69483B47"/>
    <w:rsid w:val="6CA87DFD"/>
    <w:rsid w:val="6D525AEA"/>
    <w:rsid w:val="73723688"/>
    <w:rsid w:val="74DD37CB"/>
    <w:rsid w:val="77C41863"/>
    <w:rsid w:val="77F0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0"/>
    <w:pPr>
      <w:keepNext/>
      <w:keepLines/>
      <w:numPr>
        <w:ilvl w:val="0"/>
        <w:numId w:val="1"/>
      </w:numPr>
      <w:adjustRightInd w:val="0"/>
      <w:spacing w:before="120" w:line="360" w:lineRule="auto"/>
      <w:textAlignment w:val="baseline"/>
      <w:outlineLvl w:val="0"/>
    </w:pPr>
    <w:rPr>
      <w:rFonts w:eastAsia="黑体"/>
      <w:b/>
      <w:kern w:val="44"/>
      <w:sz w:val="28"/>
      <w:szCs w:val="20"/>
    </w:rPr>
  </w:style>
  <w:style w:type="paragraph" w:styleId="8">
    <w:name w:val="heading 2"/>
    <w:basedOn w:val="1"/>
    <w:next w:val="1"/>
    <w:qFormat/>
    <w:uiPriority w:val="0"/>
    <w:pPr>
      <w:keepNext/>
      <w:numPr>
        <w:ilvl w:val="1"/>
        <w:numId w:val="1"/>
      </w:numPr>
      <w:tabs>
        <w:tab w:val="left" w:pos="360"/>
      </w:tabs>
      <w:adjustRightInd w:val="0"/>
      <w:spacing w:before="120" w:line="360" w:lineRule="auto"/>
      <w:textAlignment w:val="baseline"/>
      <w:outlineLvl w:val="1"/>
    </w:pPr>
    <w:rPr>
      <w:rFonts w:eastAsia="黑体"/>
      <w:b/>
      <w:kern w:val="0"/>
      <w:sz w:val="28"/>
      <w:szCs w:val="20"/>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autoSpaceDE/>
      <w:autoSpaceDN/>
      <w:adjustRightInd/>
      <w:ind w:left="0" w:leftChars="0" w:firstLine="420"/>
      <w:jc w:val="both"/>
      <w:textAlignment w:val="auto"/>
    </w:pPr>
    <w:rPr>
      <w:kern w:val="2"/>
      <w:sz w:val="21"/>
      <w:szCs w:val="24"/>
    </w:rPr>
  </w:style>
  <w:style w:type="paragraph" w:styleId="3">
    <w:name w:val="Body Text Indent"/>
    <w:basedOn w:val="1"/>
    <w:next w:val="2"/>
    <w:qFormat/>
    <w:uiPriority w:val="0"/>
    <w:pPr>
      <w:spacing w:after="120"/>
      <w:ind w:left="420" w:leftChars="200"/>
    </w:pPr>
  </w:style>
  <w:style w:type="paragraph" w:styleId="4">
    <w:name w:val="Body Text First Indent"/>
    <w:basedOn w:val="5"/>
    <w:next w:val="1"/>
    <w:semiHidden/>
    <w:unhideWhenUsed/>
    <w:qFormat/>
    <w:uiPriority w:val="99"/>
    <w:pPr>
      <w:ind w:firstLine="420" w:firstLineChars="100"/>
    </w:pPr>
  </w:style>
  <w:style w:type="paragraph" w:styleId="5">
    <w:name w:val="Body Text"/>
    <w:basedOn w:val="1"/>
    <w:next w:val="6"/>
    <w:qFormat/>
    <w:uiPriority w:val="99"/>
    <w:pPr>
      <w:spacing w:after="120"/>
    </w:pPr>
  </w:style>
  <w:style w:type="paragraph" w:styleId="6">
    <w:name w:val="toc 3"/>
    <w:basedOn w:val="1"/>
    <w:next w:val="1"/>
    <w:qFormat/>
    <w:uiPriority w:val="39"/>
    <w:pPr>
      <w:autoSpaceDE w:val="0"/>
      <w:autoSpaceDN w:val="0"/>
      <w:adjustRightInd w:val="0"/>
      <w:ind w:left="840" w:leftChars="400"/>
      <w:jc w:val="left"/>
    </w:pPr>
    <w:rPr>
      <w:kern w:val="0"/>
      <w:sz w:val="24"/>
      <w:szCs w:val="20"/>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nhideWhenUsed/>
    <w:qFormat/>
    <w:uiPriority w:val="99"/>
    <w:pPr>
      <w:spacing w:before="100" w:beforeAutospacing="1" w:after="100" w:afterAutospacing="1"/>
    </w:pPr>
    <w:rPr>
      <w:rFonts w:ascii="宋体" w:hAnsi="宋体" w:cs="宋体"/>
      <w:kern w:val="0"/>
    </w:rPr>
  </w:style>
  <w:style w:type="character" w:styleId="14">
    <w:name w:val="Strong"/>
    <w:basedOn w:val="13"/>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7320</Words>
  <Characters>7652</Characters>
  <Lines>0</Lines>
  <Paragraphs>0</Paragraphs>
  <TotalTime>4</TotalTime>
  <ScaleCrop>false</ScaleCrop>
  <LinksUpToDate>false</LinksUpToDate>
  <CharactersWithSpaces>7681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2024-11-28T02:18:01Z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55C1C423D4DE4B8095DA514A8B68B89D_13</vt:lpwstr>
  </property>
</Properties>
</file>