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CF4AD">
      <w:pPr>
        <w:pStyle w:val="10"/>
        <w:rPr>
          <w:rFonts w:hint="eastAsia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附件4安宁市第一人民医院消防系统维保服务项目(2024-2027年)评分标准</w:t>
      </w:r>
    </w:p>
    <w:tbl>
      <w:tblPr>
        <w:tblStyle w:val="8"/>
        <w:tblpPr w:leftFromText="4536" w:rightFromText="4536" w:bottomFromText="284" w:vertAnchor="text" w:tblpXSpec="center" w:tblpY="1"/>
        <w:tblOverlap w:val="never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1211"/>
        <w:gridCol w:w="798"/>
        <w:gridCol w:w="5332"/>
      </w:tblGrid>
      <w:tr w14:paraId="093C6B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03" w:type="pct"/>
            <w:gridSpan w:val="2"/>
            <w:vAlign w:val="center"/>
          </w:tcPr>
          <w:p w14:paraId="4A020612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  <w:t>评分项目</w:t>
            </w:r>
          </w:p>
        </w:tc>
        <w:tc>
          <w:tcPr>
            <w:tcW w:w="468" w:type="pct"/>
            <w:vAlign w:val="center"/>
          </w:tcPr>
          <w:p w14:paraId="2D76A2B0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  <w:t>分值</w:t>
            </w:r>
          </w:p>
        </w:tc>
        <w:tc>
          <w:tcPr>
            <w:tcW w:w="3127" w:type="pct"/>
            <w:vAlign w:val="center"/>
          </w:tcPr>
          <w:p w14:paraId="01D55DBE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  <w:t>评分标准</w:t>
            </w:r>
          </w:p>
        </w:tc>
      </w:tr>
      <w:tr w14:paraId="05792C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93" w:type="pct"/>
            <w:vAlign w:val="center"/>
          </w:tcPr>
          <w:p w14:paraId="21C83692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  <w:t>价格部分</w:t>
            </w:r>
          </w:p>
          <w:p w14:paraId="441CB2A2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  <w:lang w:eastAsia="zh-CN"/>
              </w:rPr>
              <w:t>（</w:t>
            </w: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  <w:lang w:val="en-US" w:eastAsia="zh-CN"/>
              </w:rPr>
              <w:t>3</w:t>
            </w: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  <w:t>0分</w:t>
            </w: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  <w:lang w:eastAsia="zh-CN"/>
              </w:rPr>
              <w:t>）</w:t>
            </w:r>
          </w:p>
        </w:tc>
        <w:tc>
          <w:tcPr>
            <w:tcW w:w="710" w:type="pct"/>
            <w:vAlign w:val="center"/>
          </w:tcPr>
          <w:p w14:paraId="6F4CF982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Cs w:val="24"/>
              </w:rPr>
              <w:t>投标报价</w:t>
            </w:r>
          </w:p>
        </w:tc>
        <w:tc>
          <w:tcPr>
            <w:tcW w:w="468" w:type="pct"/>
            <w:vAlign w:val="center"/>
          </w:tcPr>
          <w:p w14:paraId="6080C7E4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3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0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分</w:t>
            </w:r>
          </w:p>
        </w:tc>
        <w:tc>
          <w:tcPr>
            <w:tcW w:w="3127" w:type="pct"/>
            <w:vAlign w:val="center"/>
          </w:tcPr>
          <w:p w14:paraId="08089AF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1"/>
              </w:rPr>
              <w:t>采用低价优先法计算，即通过本项目符合性审查且投标价格最低的</w:t>
            </w:r>
            <w:r>
              <w:rPr>
                <w:rFonts w:hint="eastAsia" w:ascii="华文楷体" w:hAnsi="华文楷体" w:eastAsia="华文楷体" w:cs="华文楷体"/>
                <w:szCs w:val="21"/>
                <w:lang w:eastAsia="zh-CN"/>
              </w:rPr>
              <w:t>三年合计谈判报价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为评标基准价，其价格分为满分即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30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分。其他</w:t>
            </w:r>
            <w:r>
              <w:rPr>
                <w:rFonts w:hint="eastAsia" w:ascii="华文楷体" w:hAnsi="华文楷体" w:eastAsia="华文楷体" w:cs="华文楷体"/>
                <w:szCs w:val="21"/>
                <w:lang w:eastAsia="zh-CN"/>
              </w:rPr>
              <w:t>谈判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申请人的价格分统一按照下列公式计算：</w:t>
            </w:r>
          </w:p>
          <w:p w14:paraId="0416845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谈判报价得分=（评标基准价／最终谈判报价)×30；</w:t>
            </w:r>
          </w:p>
        </w:tc>
      </w:tr>
      <w:tr w14:paraId="60C2D7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</w:trPr>
        <w:tc>
          <w:tcPr>
            <w:tcW w:w="693" w:type="pct"/>
            <w:vMerge w:val="restart"/>
            <w:vAlign w:val="center"/>
          </w:tcPr>
          <w:p w14:paraId="5C5C6723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  <w:t>技术部分</w:t>
            </w:r>
          </w:p>
          <w:p w14:paraId="615A2CE5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  <w:lang w:eastAsia="zh-CN"/>
              </w:rPr>
              <w:t>（</w:t>
            </w: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  <w:lang w:val="en-US" w:eastAsia="zh-CN"/>
              </w:rPr>
              <w:t>70</w:t>
            </w: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  <w:t>分</w:t>
            </w: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  <w:lang w:eastAsia="zh-CN"/>
              </w:rPr>
              <w:t>）</w:t>
            </w:r>
          </w:p>
        </w:tc>
        <w:tc>
          <w:tcPr>
            <w:tcW w:w="710" w:type="pct"/>
            <w:vAlign w:val="center"/>
          </w:tcPr>
          <w:p w14:paraId="2D4B8F90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Cs w:val="24"/>
              </w:rPr>
              <w:t>技术参数</w:t>
            </w:r>
          </w:p>
        </w:tc>
        <w:tc>
          <w:tcPr>
            <w:tcW w:w="468" w:type="pct"/>
            <w:vAlign w:val="center"/>
          </w:tcPr>
          <w:p w14:paraId="3B811A1C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4"/>
              </w:rPr>
              <w:t>10分</w:t>
            </w:r>
          </w:p>
        </w:tc>
        <w:tc>
          <w:tcPr>
            <w:tcW w:w="3127" w:type="pct"/>
            <w:vAlign w:val="center"/>
          </w:tcPr>
          <w:p w14:paraId="4270E0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1、按医院谈判公告附件1：安宁市第一人民医院消防系统维保服务项目(2024-2027年)采购需求</w:t>
            </w:r>
            <w:r>
              <w:rPr>
                <w:rFonts w:hint="eastAsia" w:ascii="华文楷体" w:hAnsi="华文楷体" w:eastAsia="华文楷体" w:cs="华文楷体"/>
                <w:szCs w:val="21"/>
                <w:lang w:eastAsia="zh-CN"/>
              </w:rPr>
              <w:t>第三部分：项目维保要求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，在响应文件</w:t>
            </w:r>
            <w:bookmarkStart w:id="0" w:name="_Toc17161"/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格式</w:t>
            </w:r>
            <w:r>
              <w:rPr>
                <w:rFonts w:hint="eastAsia" w:ascii="华文楷体" w:hAnsi="华文楷体" w:eastAsia="华文楷体" w:cs="华文楷体"/>
                <w:szCs w:val="21"/>
                <w:lang w:val="zh-CN" w:eastAsia="zh-CN"/>
              </w:rPr>
              <w:t>三“项目采购需求偏离表</w:t>
            </w:r>
            <w:bookmarkEnd w:id="0"/>
            <w:r>
              <w:rPr>
                <w:rFonts w:hint="eastAsia" w:ascii="华文楷体" w:hAnsi="华文楷体" w:eastAsia="华文楷体" w:cs="华文楷体"/>
                <w:szCs w:val="21"/>
                <w:lang w:val="zh-CN" w:eastAsia="zh-CN"/>
              </w:rPr>
              <w:t>”进行应答；</w:t>
            </w:r>
          </w:p>
          <w:p w14:paraId="790E48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2、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每出现1项技术参数不满足</w:t>
            </w:r>
            <w:r>
              <w:rPr>
                <w:rFonts w:hint="eastAsia" w:ascii="华文楷体" w:hAnsi="华文楷体" w:eastAsia="华文楷体" w:cs="华文楷体"/>
                <w:szCs w:val="21"/>
                <w:lang w:eastAsia="zh-CN"/>
              </w:rPr>
              <w:t>谈判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文件要求，扣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5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分</w:t>
            </w:r>
            <w:r>
              <w:rPr>
                <w:rFonts w:hint="eastAsia" w:ascii="华文楷体" w:hAnsi="华文楷体" w:eastAsia="华文楷体" w:cs="华文楷体"/>
                <w:szCs w:val="21"/>
                <w:lang w:eastAsia="zh-CN"/>
              </w:rPr>
              <w:t>，扣完为止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；</w:t>
            </w:r>
          </w:p>
          <w:p w14:paraId="5C5444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3、</w:t>
            </w:r>
            <w:bookmarkStart w:id="1" w:name="_GoBack"/>
            <w:bookmarkEnd w:id="1"/>
            <w:r>
              <w:rPr>
                <w:rFonts w:hint="eastAsia" w:ascii="华文楷体" w:hAnsi="华文楷体" w:eastAsia="华文楷体" w:cs="华文楷体"/>
                <w:szCs w:val="21"/>
                <w:lang w:eastAsia="zh-CN"/>
              </w:rPr>
              <w:t>供应商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所提供相关证明材料必须真实，如发现存在虚假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应标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，则按照废标处理。</w:t>
            </w:r>
          </w:p>
        </w:tc>
      </w:tr>
      <w:tr w14:paraId="2B529D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93" w:type="pct"/>
            <w:vMerge w:val="continue"/>
            <w:vAlign w:val="center"/>
          </w:tcPr>
          <w:p w14:paraId="1CE345E9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</w:p>
        </w:tc>
        <w:tc>
          <w:tcPr>
            <w:tcW w:w="710" w:type="pct"/>
            <w:vAlign w:val="center"/>
          </w:tcPr>
          <w:p w14:paraId="61A41171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Cs w:val="24"/>
              </w:rPr>
              <w:t>项目人员配备方案评分</w:t>
            </w:r>
          </w:p>
        </w:tc>
        <w:tc>
          <w:tcPr>
            <w:tcW w:w="468" w:type="pct"/>
            <w:vAlign w:val="center"/>
          </w:tcPr>
          <w:p w14:paraId="67057159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szCs w:val="24"/>
              </w:rPr>
              <w:t>15分</w:t>
            </w:r>
          </w:p>
        </w:tc>
        <w:tc>
          <w:tcPr>
            <w:tcW w:w="3127" w:type="pct"/>
            <w:vAlign w:val="center"/>
          </w:tcPr>
          <w:p w14:paraId="1585D9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1、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供应商提供的项目人员配备方案详细、全面、合理、可行的得 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11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-1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5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分，较详细、较全面、较合理、较可行的得 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6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-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10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分，不够详细、 不够全面、不够合理、不够可行的得 1-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5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分，未提供的不得分；</w:t>
            </w:r>
          </w:p>
          <w:p w14:paraId="69F212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2、</w:t>
            </w:r>
            <w:r>
              <w:rPr>
                <w:rFonts w:hint="eastAsia" w:ascii="华文楷体" w:hAnsi="华文楷体" w:eastAsia="华文楷体" w:cs="华文楷体"/>
                <w:szCs w:val="21"/>
                <w:lang w:eastAsia="zh-CN"/>
              </w:rPr>
              <w:t>相关人员需提供劳动合同或社保缴纳证明为本公司在职员工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</w:t>
            </w:r>
          </w:p>
        </w:tc>
      </w:tr>
      <w:tr w14:paraId="5EC3B6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93" w:type="pct"/>
            <w:vMerge w:val="continue"/>
            <w:vAlign w:val="center"/>
          </w:tcPr>
          <w:p w14:paraId="6A61E21C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</w:p>
        </w:tc>
        <w:tc>
          <w:tcPr>
            <w:tcW w:w="710" w:type="pct"/>
            <w:vAlign w:val="center"/>
          </w:tcPr>
          <w:p w14:paraId="0C65C9DB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服务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质量承诺及保证措施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评分</w:t>
            </w:r>
          </w:p>
        </w:tc>
        <w:tc>
          <w:tcPr>
            <w:tcW w:w="468" w:type="pct"/>
            <w:vAlign w:val="center"/>
          </w:tcPr>
          <w:p w14:paraId="3114B9A5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4"/>
              </w:rPr>
              <w:t>10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分</w:t>
            </w:r>
          </w:p>
        </w:tc>
        <w:tc>
          <w:tcPr>
            <w:tcW w:w="3127" w:type="pct"/>
            <w:vAlign w:val="center"/>
          </w:tcPr>
          <w:p w14:paraId="101D1811">
            <w:pPr>
              <w:pStyle w:val="12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提供详细的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服务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质量承诺及保证措施</w:t>
            </w:r>
            <w:r>
              <w:rPr>
                <w:rFonts w:hint="eastAsia" w:ascii="华文楷体" w:hAnsi="华文楷体" w:eastAsia="华文楷体" w:cs="华文楷体"/>
              </w:rPr>
              <w:t>，</w:t>
            </w: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评审小组</w:t>
            </w:r>
            <w:r>
              <w:rPr>
                <w:rFonts w:hint="eastAsia" w:ascii="华文楷体" w:hAnsi="华文楷体" w:eastAsia="华文楷体" w:cs="华文楷体"/>
              </w:rPr>
              <w:t>根据各</w:t>
            </w: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供应商</w:t>
            </w:r>
            <w:r>
              <w:rPr>
                <w:rFonts w:hint="eastAsia" w:ascii="华文楷体" w:hAnsi="华文楷体" w:eastAsia="华文楷体" w:cs="华文楷体"/>
              </w:rPr>
              <w:t>的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服务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质量承诺及保证措施</w:t>
            </w:r>
            <w:r>
              <w:rPr>
                <w:rFonts w:hint="eastAsia" w:ascii="华文楷体" w:hAnsi="华文楷体" w:eastAsia="华文楷体" w:cs="华文楷体"/>
              </w:rPr>
              <w:t>，综合打分：</w:t>
            </w:r>
          </w:p>
          <w:p w14:paraId="11109EFB">
            <w:pPr>
              <w:pStyle w:val="12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1、服务措施切实可行、内容全面，能全面满足业主要求的得1</w:t>
            </w: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0</w:t>
            </w:r>
            <w:r>
              <w:rPr>
                <w:rFonts w:hint="eastAsia" w:ascii="华文楷体" w:hAnsi="华文楷体" w:eastAsia="华文楷体" w:cs="华文楷体"/>
              </w:rPr>
              <w:t>分；</w:t>
            </w:r>
          </w:p>
          <w:p w14:paraId="07F6645B">
            <w:pPr>
              <w:pStyle w:val="12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2</w:t>
            </w:r>
            <w:r>
              <w:rPr>
                <w:rFonts w:hint="eastAsia" w:ascii="华文楷体" w:hAnsi="华文楷体" w:eastAsia="华文楷体" w:cs="华文楷体"/>
                <w:lang w:eastAsia="zh-CN"/>
              </w:rPr>
              <w:t>、</w:t>
            </w:r>
            <w:r>
              <w:rPr>
                <w:rFonts w:hint="eastAsia" w:ascii="华文楷体" w:hAnsi="华文楷体" w:eastAsia="华文楷体" w:cs="华文楷体"/>
              </w:rPr>
              <w:t>服务措施基本能满足</w:t>
            </w: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采购人</w:t>
            </w:r>
            <w:r>
              <w:rPr>
                <w:rFonts w:hint="eastAsia" w:ascii="华文楷体" w:hAnsi="华文楷体" w:eastAsia="华文楷体" w:cs="华文楷体"/>
              </w:rPr>
              <w:t>要求的得7分；</w:t>
            </w:r>
          </w:p>
          <w:p w14:paraId="4A13E872">
            <w:pPr>
              <w:pStyle w:val="12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华文楷体" w:hAnsi="华文楷体" w:eastAsia="华文楷体" w:cs="华文楷体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</w:rPr>
              <w:t>3</w:t>
            </w:r>
            <w:r>
              <w:rPr>
                <w:rFonts w:hint="eastAsia" w:ascii="华文楷体" w:hAnsi="华文楷体" w:eastAsia="华文楷体" w:cs="华文楷体"/>
                <w:lang w:eastAsia="zh-CN"/>
              </w:rPr>
              <w:t>、</w:t>
            </w:r>
            <w:r>
              <w:rPr>
                <w:rFonts w:hint="eastAsia" w:ascii="华文楷体" w:hAnsi="华文楷体" w:eastAsia="华文楷体" w:cs="华文楷体"/>
              </w:rPr>
              <w:t>无法满足需求的得</w:t>
            </w: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3</w:t>
            </w:r>
            <w:r>
              <w:rPr>
                <w:rFonts w:hint="eastAsia" w:ascii="华文楷体" w:hAnsi="华文楷体" w:eastAsia="华文楷体" w:cs="华文楷体"/>
              </w:rPr>
              <w:t>分</w:t>
            </w:r>
            <w:r>
              <w:rPr>
                <w:rFonts w:hint="eastAsia" w:ascii="华文楷体" w:hAnsi="华文楷体" w:eastAsia="华文楷体" w:cs="华文楷体"/>
                <w:lang w:eastAsia="zh-CN"/>
              </w:rPr>
              <w:t>；</w:t>
            </w:r>
          </w:p>
          <w:p w14:paraId="43A77FE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4、</w:t>
            </w:r>
            <w:r>
              <w:rPr>
                <w:rFonts w:hint="eastAsia" w:ascii="华文楷体" w:hAnsi="华文楷体" w:eastAsia="华文楷体" w:cs="华文楷体"/>
              </w:rPr>
              <w:t>未提供</w:t>
            </w: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得0</w:t>
            </w:r>
            <w:r>
              <w:rPr>
                <w:rFonts w:hint="eastAsia" w:ascii="华文楷体" w:hAnsi="华文楷体" w:eastAsia="华文楷体" w:cs="华文楷体"/>
              </w:rPr>
              <w:t>分。</w:t>
            </w:r>
          </w:p>
        </w:tc>
      </w:tr>
      <w:tr w14:paraId="1F18BD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93" w:type="pct"/>
            <w:vMerge w:val="continue"/>
            <w:vAlign w:val="center"/>
          </w:tcPr>
          <w:p w14:paraId="4314A3D5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</w:p>
        </w:tc>
        <w:tc>
          <w:tcPr>
            <w:tcW w:w="710" w:type="pct"/>
            <w:vAlign w:val="center"/>
          </w:tcPr>
          <w:p w14:paraId="0F919758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leftChars="0" w:right="0" w:rightChars="0"/>
              <w:jc w:val="center"/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项目实施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方案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评分</w:t>
            </w:r>
          </w:p>
        </w:tc>
        <w:tc>
          <w:tcPr>
            <w:tcW w:w="468" w:type="pct"/>
            <w:vAlign w:val="center"/>
          </w:tcPr>
          <w:p w14:paraId="213FDAD8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leftChars="0" w:right="0" w:rightChars="0"/>
              <w:jc w:val="center"/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4"/>
              </w:rPr>
              <w:t>2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5分</w:t>
            </w:r>
          </w:p>
        </w:tc>
        <w:tc>
          <w:tcPr>
            <w:tcW w:w="3127" w:type="pct"/>
            <w:vAlign w:val="center"/>
          </w:tcPr>
          <w:p w14:paraId="2EF15F3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zCs w:val="21"/>
              </w:rPr>
              <w:t>第一个档次：提供的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项目实施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方案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详细具体、完整、具有针对性、 响应及时得 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20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-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25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分；</w:t>
            </w:r>
          </w:p>
          <w:p w14:paraId="6B1044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zCs w:val="21"/>
              </w:rPr>
              <w:t>第二个档次：提供的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项目实施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方案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基本完整、基本合理，可行性一 般得 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10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-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15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分；</w:t>
            </w:r>
          </w:p>
          <w:p w14:paraId="221BFC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zCs w:val="21"/>
              </w:rPr>
              <w:t>第三个档次：提供的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项目实施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方案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较差得 1-6 分；</w:t>
            </w:r>
          </w:p>
          <w:p w14:paraId="72C6F8B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leftChars="0" w:right="0" w:rightChars="0"/>
              <w:jc w:val="left"/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1"/>
              </w:rPr>
              <w:t>第四个档次：未提供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项目实施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方案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的不得分。</w:t>
            </w:r>
          </w:p>
        </w:tc>
      </w:tr>
      <w:tr w14:paraId="44B5AD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93" w:type="pct"/>
            <w:vMerge w:val="continue"/>
            <w:vAlign w:val="center"/>
          </w:tcPr>
          <w:p w14:paraId="5E9318AF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</w:p>
        </w:tc>
        <w:tc>
          <w:tcPr>
            <w:tcW w:w="710" w:type="pct"/>
            <w:vAlign w:val="center"/>
          </w:tcPr>
          <w:p w14:paraId="57C526AD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leftChars="0" w:right="0" w:rightChars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Cs w:val="24"/>
                <w:lang w:eastAsia="zh-CN"/>
              </w:rPr>
              <w:t>类似项目业绩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评分</w:t>
            </w:r>
          </w:p>
        </w:tc>
        <w:tc>
          <w:tcPr>
            <w:tcW w:w="468" w:type="pct"/>
            <w:vAlign w:val="center"/>
          </w:tcPr>
          <w:p w14:paraId="212DA2BD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leftChars="0" w:right="0" w:rightChars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Cs w:val="24"/>
              </w:rPr>
              <w:t>10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分</w:t>
            </w:r>
          </w:p>
        </w:tc>
        <w:tc>
          <w:tcPr>
            <w:tcW w:w="3127" w:type="pct"/>
            <w:vAlign w:val="center"/>
          </w:tcPr>
          <w:p w14:paraId="663955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ascii="华文楷体" w:hAnsi="华文楷体" w:eastAsia="华文楷体" w:cs="华文楷体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提供近3年本公司（2021年10月至今）类似项目业绩证明材料（以服务合同为准），服务合同中的业主名称、金额、服务期限等关键信息不得涂盖（有效业绩范围为：消防维保）。每提供1个有效业绩得2分，满分10分。</w:t>
            </w:r>
          </w:p>
          <w:p w14:paraId="3F92ED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</w:p>
        </w:tc>
      </w:tr>
    </w:tbl>
    <w:p w14:paraId="51E6E5B6">
      <w:pPr>
        <w:pStyle w:val="11"/>
        <w:rPr>
          <w:rFonts w:hint="eastAsia"/>
          <w:lang w:eastAsia="zh-CN"/>
        </w:rPr>
      </w:pPr>
    </w:p>
    <w:p w14:paraId="55D4CD17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7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0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4B62533"/>
    <w:rsid w:val="05B97511"/>
    <w:rsid w:val="07445592"/>
    <w:rsid w:val="08B03E69"/>
    <w:rsid w:val="09725FF9"/>
    <w:rsid w:val="0AEA18AB"/>
    <w:rsid w:val="0B8E3FFD"/>
    <w:rsid w:val="0BA17532"/>
    <w:rsid w:val="0BDC4F6E"/>
    <w:rsid w:val="11576F7C"/>
    <w:rsid w:val="1771005C"/>
    <w:rsid w:val="17AE1A29"/>
    <w:rsid w:val="18036ACD"/>
    <w:rsid w:val="19C534ED"/>
    <w:rsid w:val="1A306A02"/>
    <w:rsid w:val="1A385198"/>
    <w:rsid w:val="20B4681E"/>
    <w:rsid w:val="21D27278"/>
    <w:rsid w:val="22590C76"/>
    <w:rsid w:val="236953D8"/>
    <w:rsid w:val="23C13183"/>
    <w:rsid w:val="26010C4D"/>
    <w:rsid w:val="267143DF"/>
    <w:rsid w:val="279D069F"/>
    <w:rsid w:val="2C5518F5"/>
    <w:rsid w:val="310C4884"/>
    <w:rsid w:val="368E4C2A"/>
    <w:rsid w:val="369D33CF"/>
    <w:rsid w:val="383E384F"/>
    <w:rsid w:val="388042A0"/>
    <w:rsid w:val="3943642A"/>
    <w:rsid w:val="3A8D2B96"/>
    <w:rsid w:val="3D946B9A"/>
    <w:rsid w:val="41641CA7"/>
    <w:rsid w:val="41BE5E0E"/>
    <w:rsid w:val="44775D6C"/>
    <w:rsid w:val="44A75419"/>
    <w:rsid w:val="451E098A"/>
    <w:rsid w:val="45C87CCF"/>
    <w:rsid w:val="47846D32"/>
    <w:rsid w:val="486D73A7"/>
    <w:rsid w:val="4B86222C"/>
    <w:rsid w:val="4D1E3BF5"/>
    <w:rsid w:val="4F674123"/>
    <w:rsid w:val="4F94559A"/>
    <w:rsid w:val="5160707C"/>
    <w:rsid w:val="517D7C2E"/>
    <w:rsid w:val="55694DE8"/>
    <w:rsid w:val="56C86934"/>
    <w:rsid w:val="572B7BB5"/>
    <w:rsid w:val="58DF3AAB"/>
    <w:rsid w:val="596A0A97"/>
    <w:rsid w:val="596B4E03"/>
    <w:rsid w:val="59CC030D"/>
    <w:rsid w:val="5AD023FF"/>
    <w:rsid w:val="5DA63305"/>
    <w:rsid w:val="5DD166EA"/>
    <w:rsid w:val="5F9F0D42"/>
    <w:rsid w:val="649E3780"/>
    <w:rsid w:val="64C6798C"/>
    <w:rsid w:val="6ADC556D"/>
    <w:rsid w:val="6B64178A"/>
    <w:rsid w:val="6BA71E32"/>
    <w:rsid w:val="6E027099"/>
    <w:rsid w:val="6EDD3AFA"/>
    <w:rsid w:val="706563F8"/>
    <w:rsid w:val="71ED62B2"/>
    <w:rsid w:val="727F2737"/>
    <w:rsid w:val="73261A7B"/>
    <w:rsid w:val="756F3DFF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7">
    <w:name w:val="heading 2"/>
    <w:basedOn w:val="1"/>
    <w:next w:val="1"/>
    <w:qFormat/>
    <w:uiPriority w:val="0"/>
    <w:pPr>
      <w:keepNext/>
      <w:widowControl w:val="0"/>
      <w:numPr>
        <w:ilvl w:val="1"/>
        <w:numId w:val="1"/>
      </w:numPr>
      <w:adjustRightInd w:val="0"/>
      <w:spacing w:before="120" w:line="360" w:lineRule="auto"/>
      <w:jc w:val="both"/>
      <w:textAlignment w:val="baseline"/>
      <w:outlineLvl w:val="1"/>
    </w:pPr>
    <w:rPr>
      <w:rFonts w:ascii="Calibri" w:hAnsi="Calibri" w:eastAsia="黑体" w:cs="Times New Roman"/>
      <w:b/>
      <w:kern w:val="0"/>
      <w:sz w:val="28"/>
      <w:szCs w:val="20"/>
      <w:lang w:val="zh-CN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autoSpaceDE/>
      <w:autoSpaceDN/>
      <w:adjustRightInd/>
      <w:ind w:left="0" w:leftChars="0" w:firstLine="420"/>
      <w:jc w:val="both"/>
      <w:textAlignment w:val="auto"/>
    </w:pPr>
    <w:rPr>
      <w:kern w:val="2"/>
      <w:sz w:val="21"/>
      <w:szCs w:val="24"/>
    </w:r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</w:style>
  <w:style w:type="paragraph" w:styleId="4">
    <w:name w:val="Body Text First Indent"/>
    <w:basedOn w:val="5"/>
    <w:next w:val="1"/>
    <w:semiHidden/>
    <w:unhideWhenUsed/>
    <w:qFormat/>
    <w:uiPriority w:val="99"/>
    <w:pPr>
      <w:ind w:firstLine="420" w:firstLineChars="100"/>
    </w:p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toc 3"/>
    <w:basedOn w:val="1"/>
    <w:next w:val="1"/>
    <w:qFormat/>
    <w:uiPriority w:val="39"/>
    <w:pPr>
      <w:autoSpaceDE w:val="0"/>
      <w:autoSpaceDN w:val="0"/>
      <w:adjustRightInd w:val="0"/>
      <w:ind w:left="840" w:leftChars="400"/>
      <w:jc w:val="left"/>
    </w:pPr>
    <w:rPr>
      <w:kern w:val="0"/>
      <w:sz w:val="24"/>
      <w:szCs w:val="20"/>
    </w:rPr>
  </w:style>
  <w:style w:type="paragraph" w:customStyle="1" w:styleId="10">
    <w:name w:val="标题 5（有编号）（绿盟科技）"/>
    <w:basedOn w:val="1"/>
    <w:next w:val="11"/>
    <w:autoRedefine/>
    <w:qFormat/>
    <w:uiPriority w:val="0"/>
    <w:pPr>
      <w:keepNext/>
      <w:keepLines/>
      <w:numPr>
        <w:ilvl w:val="4"/>
        <w:numId w:val="2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11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12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932</Words>
  <Characters>955</Characters>
  <Lines>0</Lines>
  <Paragraphs>0</Paragraphs>
  <TotalTime>1</TotalTime>
  <ScaleCrop>false</ScaleCrop>
  <LinksUpToDate>false</LinksUpToDate>
  <CharactersWithSpaces>957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2024-10-22T03:11:42Z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EF91788F010144B392240AFDDBF2DFA7_13</vt:lpwstr>
  </property>
</Properties>
</file>