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955E7">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3538"/>
      <w:bookmarkStart w:id="1" w:name="_Toc31312"/>
      <w:bookmarkStart w:id="2" w:name="_Toc27375"/>
      <w:bookmarkStart w:id="3" w:name="_Toc28373"/>
      <w:bookmarkStart w:id="4" w:name="_Toc195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w:t>
      </w:r>
      <w:bookmarkEnd w:id="0"/>
      <w:bookmarkEnd w:id="1"/>
    </w:p>
    <w:p w14:paraId="43C8249F">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5" w:name="_Toc6204"/>
      <w:bookmarkStart w:id="6" w:name="_Toc9962"/>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消防系统维保服务项目</w:t>
      </w:r>
      <w:bookmarkEnd w:id="5"/>
      <w:bookmarkEnd w:id="6"/>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7" w:name="_Toc1369"/>
      <w:bookmarkStart w:id="8" w:name="_Toc1055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(2024-2027年)</w:t>
      </w:r>
      <w:bookmarkEnd w:id="2"/>
      <w:bookmarkEnd w:id="3"/>
      <w:bookmarkEnd w:id="4"/>
      <w:bookmarkEnd w:id="7"/>
      <w:bookmarkEnd w:id="8"/>
    </w:p>
    <w:p w14:paraId="594BC8A6">
      <w:pPr>
        <w:pStyle w:val="7"/>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9" w:name="_Toc22227"/>
      <w:bookmarkStart w:id="10" w:name="_Toc17988"/>
      <w:bookmarkStart w:id="11" w:name="_Toc22156"/>
      <w:bookmarkStart w:id="12" w:name="_Toc20741"/>
      <w:bookmarkStart w:id="13" w:name="_Toc5508"/>
      <w:bookmarkStart w:id="14" w:name="_Toc9230"/>
      <w:bookmarkStart w:id="15" w:name="_Toc11021"/>
      <w:bookmarkStart w:id="16" w:name="_Toc12964"/>
      <w:bookmarkStart w:id="17" w:name="_Toc29224"/>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9"/>
      <w:bookmarkEnd w:id="10"/>
      <w:bookmarkEnd w:id="11"/>
      <w:bookmarkEnd w:id="12"/>
      <w:bookmarkEnd w:id="13"/>
      <w:bookmarkEnd w:id="14"/>
      <w:bookmarkEnd w:id="15"/>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124</w:t>
      </w:r>
      <w:bookmarkEnd w:id="16"/>
      <w:bookmarkEnd w:id="17"/>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8" w:name="_Toc7654"/>
      <w:bookmarkStart w:id="19" w:name="_Toc1134"/>
      <w:bookmarkStart w:id="20" w:name="_Toc6444"/>
      <w:bookmarkStart w:id="21" w:name="_Toc17121"/>
      <w:bookmarkStart w:id="22" w:name="_Toc23534"/>
      <w:bookmarkStart w:id="23" w:name="_Toc30971"/>
      <w:bookmarkStart w:id="24" w:name="_Toc3978"/>
      <w:bookmarkStart w:id="25" w:name="_Toc16339"/>
      <w:bookmarkStart w:id="26" w:name="_Toc12089"/>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8"/>
      <w:bookmarkEnd w:id="19"/>
      <w:bookmarkEnd w:id="20"/>
      <w:bookmarkEnd w:id="21"/>
      <w:bookmarkEnd w:id="22"/>
      <w:bookmarkEnd w:id="23"/>
      <w:bookmarkEnd w:id="24"/>
      <w:bookmarkEnd w:id="25"/>
      <w:bookmarkEnd w:id="26"/>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7" w:name="_Toc184"/>
      <w:bookmarkEnd w:id="27"/>
      <w:bookmarkStart w:id="28" w:name="_Toc14917"/>
      <w:bookmarkEnd w:id="28"/>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ascii="宋体" w:hAnsi="宋体" w:eastAsia="宋体" w:cstheme="minorBidi"/>
          <w:kern w:val="2"/>
          <w:sz w:val="21"/>
          <w:szCs w:val="24"/>
          <w:lang w:val="en-US" w:eastAsia="zh-CN" w:bidi="ar-SA"/>
        </w:rPr>
        <w:id w:val="147474867"/>
        <w15:color w:val="DBDBDB"/>
        <w:docPartObj>
          <w:docPartGallery w:val="Table of Contents"/>
          <w:docPartUnique/>
        </w:docPartObj>
      </w:sdtPr>
      <w:sdtContent>
        <w:p w14:paraId="7ACC2F39">
          <w:pPr>
            <w:spacing w:before="0" w:beforeLines="0" w:after="0" w:afterLines="0" w:line="240" w:lineRule="auto"/>
            <w:ind w:left="0" w:leftChars="0" w:right="0" w:rightChars="0" w:firstLine="0" w:firstLineChars="0"/>
            <w:jc w:val="center"/>
          </w:pPr>
          <w:bookmarkStart w:id="29" w:name="_Toc16454"/>
          <w:r>
            <w:rPr>
              <w:rFonts w:ascii="宋体" w:hAnsi="宋体" w:eastAsia="宋体"/>
              <w:sz w:val="21"/>
            </w:rPr>
            <w:t>目录</w:t>
          </w:r>
        </w:p>
        <w:p w14:paraId="251769C3">
          <w:pPr>
            <w:pStyle w:val="27"/>
            <w:tabs>
              <w:tab w:val="right" w:leader="dot" w:pos="8306"/>
            </w:tabs>
          </w:pPr>
          <w:r>
            <w:fldChar w:fldCharType="begin"/>
          </w:r>
          <w:r>
            <w:instrText xml:space="preserve">TOC \o "1-1" \h \u </w:instrText>
          </w:r>
          <w:r>
            <w:fldChar w:fldCharType="separate"/>
          </w:r>
          <w:r>
            <w:fldChar w:fldCharType="begin"/>
          </w:r>
          <w:r>
            <w:instrText xml:space="preserve"> HYPERLINK \l _Toc31312 </w:instrText>
          </w:r>
          <w:r>
            <w:fldChar w:fldCharType="separate"/>
          </w:r>
          <w:r>
            <w:rPr>
              <w:rFonts w:hint="eastAsia" w:ascii="华文楷体" w:hAnsi="华文楷体" w:eastAsia="华文楷体" w:cs="华文楷体"/>
              <w:bCs/>
              <w:kern w:val="44"/>
              <w:szCs w:val="48"/>
              <w:lang w:val="en-US" w:eastAsia="zh-CN" w:bidi="ar-SA"/>
            </w:rPr>
            <w:t>安宁市第一人民医院</w:t>
          </w:r>
          <w:r>
            <w:tab/>
          </w:r>
          <w:r>
            <w:fldChar w:fldCharType="begin"/>
          </w:r>
          <w:r>
            <w:instrText xml:space="preserve"> PAGEREF _Toc31312 \h </w:instrText>
          </w:r>
          <w:r>
            <w:fldChar w:fldCharType="separate"/>
          </w:r>
          <w:r>
            <w:t>1</w:t>
          </w:r>
          <w:r>
            <w:fldChar w:fldCharType="end"/>
          </w:r>
          <w:r>
            <w:fldChar w:fldCharType="end"/>
          </w:r>
        </w:p>
        <w:p w14:paraId="34578EE1">
          <w:pPr>
            <w:pStyle w:val="27"/>
            <w:tabs>
              <w:tab w:val="right" w:leader="dot" w:pos="8306"/>
            </w:tabs>
          </w:pPr>
          <w:r>
            <w:fldChar w:fldCharType="begin"/>
          </w:r>
          <w:r>
            <w:instrText xml:space="preserve"> HYPERLINK \l _Toc9962 </w:instrText>
          </w:r>
          <w:r>
            <w:fldChar w:fldCharType="separate"/>
          </w:r>
          <w:r>
            <w:rPr>
              <w:rFonts w:hint="eastAsia" w:ascii="华文楷体" w:hAnsi="华文楷体" w:eastAsia="华文楷体" w:cs="华文楷体"/>
              <w:bCs/>
              <w:kern w:val="44"/>
              <w:szCs w:val="48"/>
              <w:lang w:val="en-US" w:eastAsia="zh-CN" w:bidi="ar-SA"/>
            </w:rPr>
            <w:t>消防系统维保服务项目</w:t>
          </w:r>
          <w:r>
            <w:tab/>
          </w:r>
          <w:r>
            <w:fldChar w:fldCharType="begin"/>
          </w:r>
          <w:r>
            <w:instrText xml:space="preserve"> PAGEREF _Toc9962 \h </w:instrText>
          </w:r>
          <w:r>
            <w:fldChar w:fldCharType="separate"/>
          </w:r>
          <w:r>
            <w:t>1</w:t>
          </w:r>
          <w:r>
            <w:fldChar w:fldCharType="end"/>
          </w:r>
          <w:r>
            <w:fldChar w:fldCharType="end"/>
          </w:r>
        </w:p>
        <w:p w14:paraId="01980D34">
          <w:pPr>
            <w:pStyle w:val="27"/>
            <w:tabs>
              <w:tab w:val="right" w:leader="dot" w:pos="8306"/>
            </w:tabs>
          </w:pPr>
          <w:r>
            <w:fldChar w:fldCharType="begin"/>
          </w:r>
          <w:r>
            <w:instrText xml:space="preserve"> HYPERLINK \l _Toc10553 </w:instrText>
          </w:r>
          <w:r>
            <w:fldChar w:fldCharType="separate"/>
          </w:r>
          <w:r>
            <w:rPr>
              <w:rFonts w:hint="eastAsia" w:ascii="华文楷体" w:hAnsi="华文楷体" w:eastAsia="华文楷体" w:cs="华文楷体"/>
              <w:bCs/>
              <w:kern w:val="44"/>
              <w:szCs w:val="48"/>
              <w:lang w:val="en-US" w:eastAsia="zh-CN" w:bidi="ar-SA"/>
            </w:rPr>
            <w:t>(2024-2027年)</w:t>
          </w:r>
          <w:r>
            <w:tab/>
          </w:r>
          <w:r>
            <w:fldChar w:fldCharType="begin"/>
          </w:r>
          <w:r>
            <w:instrText xml:space="preserve"> PAGEREF _Toc10553 \h </w:instrText>
          </w:r>
          <w:r>
            <w:fldChar w:fldCharType="separate"/>
          </w:r>
          <w:r>
            <w:t>1</w:t>
          </w:r>
          <w:r>
            <w:fldChar w:fldCharType="end"/>
          </w:r>
          <w:r>
            <w:fldChar w:fldCharType="end"/>
          </w:r>
        </w:p>
        <w:p w14:paraId="79E0AE9D">
          <w:pPr>
            <w:pStyle w:val="27"/>
            <w:tabs>
              <w:tab w:val="right" w:leader="dot" w:pos="8306"/>
            </w:tabs>
          </w:pPr>
          <w:r>
            <w:fldChar w:fldCharType="begin"/>
          </w:r>
          <w:r>
            <w:instrText xml:space="preserve"> HYPERLINK \l _Toc29224 </w:instrText>
          </w:r>
          <w: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2024N124</w:t>
          </w:r>
          <w:r>
            <w:tab/>
          </w:r>
          <w:r>
            <w:fldChar w:fldCharType="begin"/>
          </w:r>
          <w:r>
            <w:instrText xml:space="preserve"> PAGEREF _Toc29224 \h </w:instrText>
          </w:r>
          <w:r>
            <w:fldChar w:fldCharType="separate"/>
          </w:r>
          <w:r>
            <w:t>1</w:t>
          </w:r>
          <w:r>
            <w:fldChar w:fldCharType="end"/>
          </w:r>
          <w:r>
            <w:fldChar w:fldCharType="end"/>
          </w:r>
        </w:p>
        <w:p w14:paraId="25458D58">
          <w:pPr>
            <w:pStyle w:val="27"/>
            <w:tabs>
              <w:tab w:val="right" w:leader="dot" w:pos="8306"/>
            </w:tabs>
          </w:pPr>
          <w:r>
            <w:fldChar w:fldCharType="begin"/>
          </w:r>
          <w:r>
            <w:instrText xml:space="preserve"> HYPERLINK \l _Toc12089 </w:instrText>
          </w:r>
          <w: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_Toc12089 \h </w:instrText>
          </w:r>
          <w:r>
            <w:fldChar w:fldCharType="separate"/>
          </w:r>
          <w:r>
            <w:t>1</w:t>
          </w:r>
          <w:r>
            <w:fldChar w:fldCharType="end"/>
          </w:r>
          <w:r>
            <w:fldChar w:fldCharType="end"/>
          </w:r>
        </w:p>
        <w:p w14:paraId="012B051E">
          <w:pPr>
            <w:pStyle w:val="27"/>
            <w:tabs>
              <w:tab w:val="right" w:leader="dot" w:pos="8306"/>
            </w:tabs>
          </w:pPr>
          <w:r>
            <w:fldChar w:fldCharType="begin"/>
          </w:r>
          <w:r>
            <w:instrText xml:space="preserve"> HYPERLINK \l _Toc23066 </w:instrText>
          </w:r>
          <w:r>
            <w:fldChar w:fldCharType="separate"/>
          </w:r>
          <w:r>
            <w:rPr>
              <w:rFonts w:hint="eastAsia" w:ascii="华文楷体" w:hAnsi="华文楷体" w:eastAsia="华文楷体" w:cs="华文楷体"/>
              <w:szCs w:val="32"/>
              <w:lang w:val="en-US" w:eastAsia="zh-CN"/>
            </w:rPr>
            <w:t>一、第一轮报价一览表</w:t>
          </w:r>
          <w:r>
            <w:tab/>
          </w:r>
          <w:r>
            <w:fldChar w:fldCharType="begin"/>
          </w:r>
          <w:r>
            <w:instrText xml:space="preserve"> PAGEREF _Toc23066 \h </w:instrText>
          </w:r>
          <w:r>
            <w:fldChar w:fldCharType="separate"/>
          </w:r>
          <w:r>
            <w:t>2</w:t>
          </w:r>
          <w:r>
            <w:fldChar w:fldCharType="end"/>
          </w:r>
          <w:r>
            <w:fldChar w:fldCharType="end"/>
          </w:r>
        </w:p>
        <w:p w14:paraId="6F6A99B4">
          <w:pPr>
            <w:pStyle w:val="27"/>
            <w:tabs>
              <w:tab w:val="right" w:leader="dot" w:pos="8306"/>
            </w:tabs>
          </w:pPr>
          <w:r>
            <w:fldChar w:fldCharType="begin"/>
          </w:r>
          <w:r>
            <w:instrText xml:space="preserve"> HYPERLINK \l _Toc30252 </w:instrText>
          </w:r>
          <w: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_Toc30252 \h </w:instrText>
          </w:r>
          <w:r>
            <w:fldChar w:fldCharType="separate"/>
          </w:r>
          <w:r>
            <w:t>3</w:t>
          </w:r>
          <w:r>
            <w:fldChar w:fldCharType="end"/>
          </w:r>
          <w:r>
            <w:fldChar w:fldCharType="end"/>
          </w:r>
        </w:p>
        <w:p w14:paraId="7F5A7FE7">
          <w:pPr>
            <w:pStyle w:val="27"/>
            <w:tabs>
              <w:tab w:val="right" w:leader="dot" w:pos="8306"/>
            </w:tabs>
          </w:pPr>
          <w:r>
            <w:fldChar w:fldCharType="begin"/>
          </w:r>
          <w:r>
            <w:instrText xml:space="preserve"> HYPERLINK \l _Toc17161 </w:instrText>
          </w:r>
          <w:r>
            <w:fldChar w:fldCharType="separate"/>
          </w:r>
          <w:r>
            <w:rPr>
              <w:rFonts w:hint="eastAsia" w:ascii="华文楷体" w:hAnsi="华文楷体" w:eastAsia="华文楷体" w:cs="华文楷体"/>
              <w:szCs w:val="32"/>
              <w:lang w:val="zh-CN" w:eastAsia="zh-CN"/>
            </w:rPr>
            <w:t>三、项目采购需求偏离表</w:t>
          </w:r>
          <w:r>
            <w:tab/>
          </w:r>
          <w:r>
            <w:fldChar w:fldCharType="begin"/>
          </w:r>
          <w:r>
            <w:instrText xml:space="preserve"> PAGEREF _Toc17161 \h </w:instrText>
          </w:r>
          <w:r>
            <w:fldChar w:fldCharType="separate"/>
          </w:r>
          <w:r>
            <w:t>5</w:t>
          </w:r>
          <w:r>
            <w:fldChar w:fldCharType="end"/>
          </w:r>
          <w:r>
            <w:fldChar w:fldCharType="end"/>
          </w:r>
        </w:p>
        <w:p w14:paraId="250523AA">
          <w:pPr>
            <w:pStyle w:val="27"/>
            <w:tabs>
              <w:tab w:val="right" w:leader="dot" w:pos="8306"/>
            </w:tabs>
          </w:pPr>
          <w:r>
            <w:fldChar w:fldCharType="begin"/>
          </w:r>
          <w:r>
            <w:instrText xml:space="preserve"> HYPERLINK \l _Toc21413 </w:instrText>
          </w:r>
          <w:r>
            <w:fldChar w:fldCharType="separate"/>
          </w:r>
          <w:r>
            <w:rPr>
              <w:rFonts w:hint="eastAsia" w:ascii="华文楷体" w:hAnsi="华文楷体" w:eastAsia="华文楷体" w:cs="华文楷体"/>
              <w:kern w:val="0"/>
              <w:szCs w:val="32"/>
              <w:lang w:val="zh-CN" w:eastAsia="zh-CN" w:bidi="ar-SA"/>
            </w:rPr>
            <w:t>四、响应人信息表</w:t>
          </w:r>
          <w:r>
            <w:tab/>
          </w:r>
          <w:r>
            <w:fldChar w:fldCharType="begin"/>
          </w:r>
          <w:r>
            <w:instrText xml:space="preserve"> PAGEREF _Toc21413 \h </w:instrText>
          </w:r>
          <w:r>
            <w:fldChar w:fldCharType="separate"/>
          </w:r>
          <w:r>
            <w:t>6</w:t>
          </w:r>
          <w:r>
            <w:fldChar w:fldCharType="end"/>
          </w:r>
          <w:r>
            <w:fldChar w:fldCharType="end"/>
          </w:r>
        </w:p>
        <w:p w14:paraId="0D4AB682">
          <w:pPr>
            <w:pStyle w:val="27"/>
            <w:tabs>
              <w:tab w:val="right" w:leader="dot" w:pos="8306"/>
            </w:tabs>
          </w:pPr>
          <w:r>
            <w:fldChar w:fldCharType="begin"/>
          </w:r>
          <w:r>
            <w:instrText xml:space="preserve"> HYPERLINK \l _Toc27876 </w:instrText>
          </w:r>
          <w:r>
            <w:fldChar w:fldCharType="separate"/>
          </w:r>
          <w:r>
            <w:rPr>
              <w:rFonts w:hint="eastAsia" w:ascii="华文楷体" w:hAnsi="华文楷体" w:eastAsia="华文楷体" w:cs="华文楷体"/>
              <w:szCs w:val="32"/>
              <w:lang w:val="en-US" w:eastAsia="zh-CN"/>
            </w:rPr>
            <w:t>五、法定代表人(负责人)身份证明书</w:t>
          </w:r>
          <w:r>
            <w:tab/>
          </w:r>
          <w:r>
            <w:fldChar w:fldCharType="begin"/>
          </w:r>
          <w:r>
            <w:instrText xml:space="preserve"> PAGEREF _Toc27876 \h </w:instrText>
          </w:r>
          <w:r>
            <w:fldChar w:fldCharType="separate"/>
          </w:r>
          <w:r>
            <w:t>7</w:t>
          </w:r>
          <w:r>
            <w:fldChar w:fldCharType="end"/>
          </w:r>
          <w:r>
            <w:fldChar w:fldCharType="end"/>
          </w:r>
        </w:p>
        <w:p w14:paraId="2D657455">
          <w:pPr>
            <w:pStyle w:val="27"/>
            <w:tabs>
              <w:tab w:val="right" w:leader="dot" w:pos="8306"/>
            </w:tabs>
          </w:pPr>
          <w:r>
            <w:fldChar w:fldCharType="begin"/>
          </w:r>
          <w:r>
            <w:instrText xml:space="preserve"> HYPERLINK \l _Toc28126 </w:instrText>
          </w:r>
          <w:r>
            <w:fldChar w:fldCharType="separate"/>
          </w:r>
          <w:r>
            <w:rPr>
              <w:rFonts w:hint="eastAsia" w:ascii="华文楷体" w:hAnsi="华文楷体" w:eastAsia="华文楷体" w:cs="华文楷体"/>
              <w:kern w:val="0"/>
              <w:szCs w:val="32"/>
              <w:lang w:val="en-US" w:eastAsia="zh-CN" w:bidi="ar-SA"/>
            </w:rPr>
            <w:t>六、法定代表人（负责人）授权委托书</w:t>
          </w:r>
          <w:r>
            <w:tab/>
          </w:r>
          <w:r>
            <w:fldChar w:fldCharType="begin"/>
          </w:r>
          <w:r>
            <w:instrText xml:space="preserve"> PAGEREF _Toc28126 \h </w:instrText>
          </w:r>
          <w:r>
            <w:fldChar w:fldCharType="separate"/>
          </w:r>
          <w:r>
            <w:t>8</w:t>
          </w:r>
          <w:r>
            <w:fldChar w:fldCharType="end"/>
          </w:r>
          <w:r>
            <w:fldChar w:fldCharType="end"/>
          </w:r>
        </w:p>
        <w:p w14:paraId="30CDB1C4">
          <w:pPr>
            <w:pStyle w:val="27"/>
            <w:tabs>
              <w:tab w:val="right" w:leader="dot" w:pos="8306"/>
            </w:tabs>
          </w:pPr>
          <w:r>
            <w:fldChar w:fldCharType="begin"/>
          </w:r>
          <w:r>
            <w:instrText xml:space="preserve"> HYPERLINK \l _Toc15097 </w:instrText>
          </w:r>
          <w:r>
            <w:fldChar w:fldCharType="separate"/>
          </w:r>
          <w:r>
            <w:rPr>
              <w:rFonts w:hint="eastAsia" w:ascii="华文楷体" w:hAnsi="华文楷体" w:eastAsia="华文楷体" w:cs="华文楷体"/>
              <w:kern w:val="0"/>
              <w:szCs w:val="32"/>
              <w:lang w:val="en-US" w:eastAsia="zh-CN" w:bidi="ar-SA"/>
            </w:rPr>
            <w:t>七、委托代理人社保缴纳证明</w:t>
          </w:r>
          <w:r>
            <w:tab/>
          </w:r>
          <w:r>
            <w:fldChar w:fldCharType="begin"/>
          </w:r>
          <w:r>
            <w:instrText xml:space="preserve"> PAGEREF _Toc15097 \h </w:instrText>
          </w:r>
          <w:r>
            <w:fldChar w:fldCharType="separate"/>
          </w:r>
          <w:r>
            <w:t>9</w:t>
          </w:r>
          <w:r>
            <w:fldChar w:fldCharType="end"/>
          </w:r>
          <w:r>
            <w:fldChar w:fldCharType="end"/>
          </w:r>
        </w:p>
        <w:p w14:paraId="15B25586">
          <w:pPr>
            <w:pStyle w:val="27"/>
            <w:tabs>
              <w:tab w:val="right" w:leader="dot" w:pos="8306"/>
            </w:tabs>
          </w:pPr>
          <w:r>
            <w:fldChar w:fldCharType="begin"/>
          </w:r>
          <w:r>
            <w:instrText xml:space="preserve"> HYPERLINK \l _Toc254 </w:instrText>
          </w:r>
          <w:r>
            <w:fldChar w:fldCharType="separate"/>
          </w:r>
          <w:r>
            <w:rPr>
              <w:rFonts w:hint="eastAsia" w:ascii="华文楷体" w:hAnsi="华文楷体" w:eastAsia="华文楷体" w:cs="华文楷体"/>
              <w:kern w:val="0"/>
              <w:szCs w:val="32"/>
              <w:lang w:val="en-US" w:eastAsia="zh-CN" w:bidi="ar-SA"/>
            </w:rPr>
            <w:t>八、服务质量承诺</w:t>
          </w:r>
          <w:r>
            <w:tab/>
          </w:r>
          <w:r>
            <w:fldChar w:fldCharType="begin"/>
          </w:r>
          <w:r>
            <w:instrText xml:space="preserve"> PAGEREF _Toc254 \h </w:instrText>
          </w:r>
          <w:r>
            <w:fldChar w:fldCharType="separate"/>
          </w:r>
          <w:r>
            <w:t>10</w:t>
          </w:r>
          <w:r>
            <w:fldChar w:fldCharType="end"/>
          </w:r>
          <w:r>
            <w:fldChar w:fldCharType="end"/>
          </w:r>
        </w:p>
        <w:p w14:paraId="3E879A5C">
          <w:pPr>
            <w:pStyle w:val="27"/>
            <w:tabs>
              <w:tab w:val="right" w:leader="dot" w:pos="8306"/>
            </w:tabs>
          </w:pPr>
          <w:r>
            <w:fldChar w:fldCharType="begin"/>
          </w:r>
          <w:r>
            <w:instrText xml:space="preserve"> HYPERLINK \l _Toc3742 </w:instrText>
          </w:r>
          <w:r>
            <w:fldChar w:fldCharType="separate"/>
          </w:r>
          <w:r>
            <w:rPr>
              <w:rFonts w:hint="eastAsia" w:ascii="华文楷体" w:hAnsi="华文楷体" w:eastAsia="华文楷体" w:cs="华文楷体"/>
              <w:szCs w:val="24"/>
            </w:rPr>
            <w:t>一、对下列设施进行全面检查维护，并保证其消防设施、设备运行状况良好：</w:t>
          </w:r>
          <w:r>
            <w:tab/>
          </w:r>
          <w:r>
            <w:fldChar w:fldCharType="begin"/>
          </w:r>
          <w:r>
            <w:instrText xml:space="preserve"> PAGEREF _Toc3742 \h </w:instrText>
          </w:r>
          <w:r>
            <w:fldChar w:fldCharType="separate"/>
          </w:r>
          <w:r>
            <w:t>10</w:t>
          </w:r>
          <w:r>
            <w:fldChar w:fldCharType="end"/>
          </w:r>
          <w:r>
            <w:fldChar w:fldCharType="end"/>
          </w:r>
        </w:p>
        <w:p w14:paraId="2BB4B3A2">
          <w:pPr>
            <w:pStyle w:val="27"/>
            <w:tabs>
              <w:tab w:val="right" w:leader="dot" w:pos="8306"/>
            </w:tabs>
          </w:pPr>
          <w:r>
            <w:fldChar w:fldCharType="begin"/>
          </w:r>
          <w:r>
            <w:instrText xml:space="preserve"> HYPERLINK \l _Toc20391 </w:instrText>
          </w:r>
          <w:r>
            <w:fldChar w:fldCharType="separate"/>
          </w:r>
          <w:r>
            <w:rPr>
              <w:rFonts w:hint="eastAsia" w:ascii="华文楷体" w:hAnsi="华文楷体" w:eastAsia="华文楷体" w:cs="华文楷体"/>
              <w:szCs w:val="24"/>
            </w:rPr>
            <w:t>保养范围包括：监控模块状态检查、系统联动及手动控制</w:t>
          </w:r>
          <w:r>
            <w:tab/>
          </w:r>
          <w:r>
            <w:fldChar w:fldCharType="begin"/>
          </w:r>
          <w:r>
            <w:instrText xml:space="preserve"> PAGEREF _Toc20391 \h </w:instrText>
          </w:r>
          <w:r>
            <w:fldChar w:fldCharType="separate"/>
          </w:r>
          <w:r>
            <w:t>10</w:t>
          </w:r>
          <w:r>
            <w:fldChar w:fldCharType="end"/>
          </w:r>
          <w:r>
            <w:fldChar w:fldCharType="end"/>
          </w:r>
        </w:p>
        <w:p w14:paraId="7F5A1303">
          <w:pPr>
            <w:pStyle w:val="27"/>
            <w:tabs>
              <w:tab w:val="right" w:leader="dot" w:pos="8306"/>
            </w:tabs>
          </w:pPr>
          <w:r>
            <w:fldChar w:fldCharType="begin"/>
          </w:r>
          <w:r>
            <w:instrText xml:space="preserve"> HYPERLINK \l _Toc29700 </w:instrText>
          </w:r>
          <w:r>
            <w:fldChar w:fldCharType="separate"/>
          </w:r>
          <w:r>
            <w:rPr>
              <w:rFonts w:hint="eastAsia" w:ascii="华文楷体" w:hAnsi="华文楷体" w:eastAsia="华文楷体" w:cs="华文楷体"/>
              <w:kern w:val="0"/>
              <w:szCs w:val="32"/>
              <w:lang w:val="en-US" w:eastAsia="zh-CN" w:bidi="ar-SA"/>
            </w:rPr>
            <w:t>九、响应人资格文件</w:t>
          </w:r>
          <w:r>
            <w:tab/>
          </w:r>
          <w:r>
            <w:fldChar w:fldCharType="begin"/>
          </w:r>
          <w:r>
            <w:instrText xml:space="preserve"> PAGEREF _Toc29700 \h </w:instrText>
          </w:r>
          <w:r>
            <w:fldChar w:fldCharType="separate"/>
          </w:r>
          <w:r>
            <w:t>12</w:t>
          </w:r>
          <w:r>
            <w:fldChar w:fldCharType="end"/>
          </w:r>
          <w:r>
            <w:fldChar w:fldCharType="end"/>
          </w:r>
        </w:p>
        <w:p w14:paraId="1A523582">
          <w:pPr>
            <w:pStyle w:val="27"/>
            <w:tabs>
              <w:tab w:val="right" w:leader="dot" w:pos="8306"/>
            </w:tabs>
          </w:pPr>
          <w:r>
            <w:fldChar w:fldCharType="begin"/>
          </w:r>
          <w:r>
            <w:instrText xml:space="preserve"> HYPERLINK \l _Toc8433 </w:instrText>
          </w:r>
          <w:r>
            <w:fldChar w:fldCharType="separate"/>
          </w:r>
          <w:r>
            <w:rPr>
              <w:rFonts w:hint="eastAsia" w:ascii="华文楷体" w:hAnsi="华文楷体" w:eastAsia="华文楷体" w:cs="华文楷体"/>
              <w:kern w:val="0"/>
              <w:szCs w:val="32"/>
              <w:lang w:val="en-US" w:eastAsia="zh-CN" w:bidi="ar-SA"/>
            </w:rPr>
            <w:t>十三、近三年类似项目业绩</w:t>
          </w:r>
          <w:r>
            <w:tab/>
          </w:r>
          <w:r>
            <w:fldChar w:fldCharType="begin"/>
          </w:r>
          <w:r>
            <w:instrText xml:space="preserve"> PAGEREF _Toc8433 \h </w:instrText>
          </w:r>
          <w:r>
            <w:fldChar w:fldCharType="separate"/>
          </w:r>
          <w:r>
            <w:t>16</w:t>
          </w:r>
          <w:r>
            <w:fldChar w:fldCharType="end"/>
          </w:r>
          <w:r>
            <w:fldChar w:fldCharType="end"/>
          </w:r>
        </w:p>
        <w:p w14:paraId="48CA1F72">
          <w:pPr>
            <w:pStyle w:val="27"/>
            <w:tabs>
              <w:tab w:val="right" w:leader="dot" w:pos="8306"/>
            </w:tabs>
          </w:pPr>
          <w:r>
            <w:fldChar w:fldCharType="begin"/>
          </w:r>
          <w:r>
            <w:instrText xml:space="preserve"> HYPERLINK \l _Toc6862 </w:instrText>
          </w:r>
          <w: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_Toc6862 \h </w:instrText>
          </w:r>
          <w:r>
            <w:fldChar w:fldCharType="separate"/>
          </w:r>
          <w:r>
            <w:t>17</w:t>
          </w:r>
          <w:r>
            <w:fldChar w:fldCharType="end"/>
          </w:r>
          <w:r>
            <w:fldChar w:fldCharType="end"/>
          </w:r>
        </w:p>
        <w:p w14:paraId="074565E9">
          <w:pPr>
            <w:pStyle w:val="27"/>
            <w:tabs>
              <w:tab w:val="right" w:leader="dot" w:pos="8306"/>
            </w:tabs>
          </w:pPr>
          <w:r>
            <w:fldChar w:fldCharType="begin"/>
          </w:r>
          <w:r>
            <w:instrText xml:space="preserve"> HYPERLINK \l _Toc32570 </w:instrText>
          </w:r>
          <w:r>
            <w:fldChar w:fldCharType="separate"/>
          </w:r>
          <w:r>
            <w:rPr>
              <w:rFonts w:hint="eastAsia" w:ascii="华文楷体" w:hAnsi="华文楷体" w:eastAsia="华文楷体" w:cs="华文楷体"/>
              <w:kern w:val="0"/>
              <w:szCs w:val="32"/>
              <w:lang w:val="en-US" w:eastAsia="zh-CN" w:bidi="ar-SA"/>
            </w:rPr>
            <w:t>十五、不参与围标串标承诺书</w:t>
          </w:r>
          <w:r>
            <w:tab/>
          </w:r>
          <w:r>
            <w:fldChar w:fldCharType="begin"/>
          </w:r>
          <w:r>
            <w:instrText xml:space="preserve"> PAGEREF _Toc32570 \h </w:instrText>
          </w:r>
          <w:r>
            <w:fldChar w:fldCharType="separate"/>
          </w:r>
          <w:r>
            <w:t>18</w:t>
          </w:r>
          <w:r>
            <w:fldChar w:fldCharType="end"/>
          </w:r>
          <w:r>
            <w:fldChar w:fldCharType="end"/>
          </w:r>
        </w:p>
        <w:p w14:paraId="4854164C">
          <w:pPr>
            <w:pStyle w:val="27"/>
            <w:tabs>
              <w:tab w:val="right" w:leader="dot" w:pos="8306"/>
            </w:tabs>
          </w:pPr>
          <w:r>
            <w:fldChar w:fldCharType="begin"/>
          </w:r>
          <w:r>
            <w:instrText xml:space="preserve"> HYPERLINK \l _Toc8221 </w:instrText>
          </w:r>
          <w:r>
            <w:fldChar w:fldCharType="separate"/>
          </w:r>
          <w:r>
            <w:rPr>
              <w:rFonts w:hint="eastAsia" w:ascii="华文楷体" w:hAnsi="华文楷体" w:eastAsia="华文楷体" w:cs="华文楷体"/>
              <w:szCs w:val="21"/>
              <w:highlight w:val="none"/>
            </w:rPr>
            <w:t>二、我单位在本项目招标投标活动中，未参与围标串标。</w:t>
          </w:r>
          <w:r>
            <w:tab/>
          </w:r>
          <w:r>
            <w:fldChar w:fldCharType="begin"/>
          </w:r>
          <w:r>
            <w:instrText xml:space="preserve"> PAGEREF _Toc8221 \h </w:instrText>
          </w:r>
          <w:r>
            <w:fldChar w:fldCharType="separate"/>
          </w:r>
          <w:r>
            <w:t>18</w:t>
          </w:r>
          <w:r>
            <w:fldChar w:fldCharType="end"/>
          </w:r>
          <w:r>
            <w:fldChar w:fldCharType="end"/>
          </w:r>
        </w:p>
        <w:p w14:paraId="3A9F6FA1">
          <w:pPr>
            <w:pStyle w:val="27"/>
            <w:tabs>
              <w:tab w:val="right" w:leader="dot" w:pos="8306"/>
            </w:tabs>
          </w:pPr>
          <w:r>
            <w:fldChar w:fldCharType="begin"/>
          </w:r>
          <w:r>
            <w:instrText xml:space="preserve"> HYPERLINK \l _Toc18034 </w:instrText>
          </w:r>
          <w:r>
            <w:fldChar w:fldCharType="separate"/>
          </w:r>
          <w:r>
            <w:rPr>
              <w:rFonts w:hint="eastAsia" w:ascii="华文楷体" w:hAnsi="华文楷体" w:eastAsia="华文楷体" w:cs="华文楷体"/>
              <w:szCs w:val="21"/>
              <w:highlight w:val="none"/>
              <w:lang w:val="en-US" w:eastAsia="zh-CN"/>
            </w:rPr>
            <w:t>四、处理方式：</w:t>
          </w:r>
          <w:r>
            <w:tab/>
          </w:r>
          <w:r>
            <w:fldChar w:fldCharType="begin"/>
          </w:r>
          <w:r>
            <w:instrText xml:space="preserve"> PAGEREF _Toc18034 \h </w:instrText>
          </w:r>
          <w:r>
            <w:fldChar w:fldCharType="separate"/>
          </w:r>
          <w:r>
            <w:t>18</w:t>
          </w:r>
          <w:r>
            <w:fldChar w:fldCharType="end"/>
          </w:r>
          <w:r>
            <w:fldChar w:fldCharType="end"/>
          </w:r>
        </w:p>
        <w:p w14:paraId="327425E9">
          <w:pPr>
            <w:pStyle w:val="27"/>
            <w:tabs>
              <w:tab w:val="right" w:leader="dot" w:pos="8306"/>
            </w:tabs>
          </w:pPr>
          <w:r>
            <w:fldChar w:fldCharType="begin"/>
          </w:r>
          <w:r>
            <w:instrText xml:space="preserve"> HYPERLINK \l _Toc7722 </w:instrText>
          </w:r>
          <w:r>
            <w:fldChar w:fldCharType="separate"/>
          </w:r>
          <w:r>
            <w:rPr>
              <w:rFonts w:hint="eastAsia" w:ascii="华文楷体" w:hAnsi="华文楷体" w:eastAsia="华文楷体" w:cs="华文楷体"/>
              <w:kern w:val="0"/>
              <w:szCs w:val="32"/>
              <w:lang w:val="en-US" w:eastAsia="zh-CN" w:bidi="ar-SA"/>
            </w:rPr>
            <w:t>十六、合规及廉洁自律承诺书</w:t>
          </w:r>
          <w:r>
            <w:tab/>
          </w:r>
          <w:r>
            <w:fldChar w:fldCharType="begin"/>
          </w:r>
          <w:r>
            <w:instrText xml:space="preserve"> PAGEREF _Toc7722 \h </w:instrText>
          </w:r>
          <w:r>
            <w:fldChar w:fldCharType="separate"/>
          </w:r>
          <w:r>
            <w:t>19</w:t>
          </w:r>
          <w:r>
            <w:fldChar w:fldCharType="end"/>
          </w:r>
          <w:r>
            <w:fldChar w:fldCharType="end"/>
          </w:r>
        </w:p>
        <w:p w14:paraId="39589E37">
          <w:pPr>
            <w:pStyle w:val="27"/>
            <w:tabs>
              <w:tab w:val="right" w:leader="dot" w:pos="8306"/>
            </w:tabs>
          </w:pPr>
          <w:r>
            <w:fldChar w:fldCharType="begin"/>
          </w:r>
          <w:r>
            <w:instrText xml:space="preserve"> HYPERLINK \l _Toc17868 </w:instrText>
          </w:r>
          <w:r>
            <w:fldChar w:fldCharType="separate"/>
          </w:r>
          <w:r>
            <w:rPr>
              <w:rFonts w:hint="eastAsia" w:ascii="华文楷体" w:hAnsi="华文楷体" w:eastAsia="华文楷体" w:cs="华文楷体"/>
              <w:szCs w:val="21"/>
              <w:highlight w:val="none"/>
              <w:lang w:val="en-US" w:eastAsia="zh-CN"/>
            </w:rPr>
            <w:t>一</w:t>
          </w:r>
          <w:r>
            <w:rPr>
              <w:rFonts w:hint="eastAsia" w:ascii="华文楷体" w:hAnsi="华文楷体" w:eastAsia="华文楷体" w:cs="华文楷体"/>
              <w:szCs w:val="21"/>
              <w:highlight w:val="none"/>
            </w:rPr>
            <w:t>、我方保证并要求我方人员及利益相关方做到：</w:t>
          </w:r>
          <w:r>
            <w:tab/>
          </w:r>
          <w:r>
            <w:fldChar w:fldCharType="begin"/>
          </w:r>
          <w:r>
            <w:instrText xml:space="preserve"> PAGEREF _Toc17868 \h </w:instrText>
          </w:r>
          <w:r>
            <w:fldChar w:fldCharType="separate"/>
          </w:r>
          <w:r>
            <w:t>19</w:t>
          </w:r>
          <w:r>
            <w:fldChar w:fldCharType="end"/>
          </w:r>
          <w:r>
            <w:fldChar w:fldCharType="end"/>
          </w:r>
        </w:p>
        <w:p w14:paraId="156EB1C2">
          <w:pPr>
            <w:pStyle w:val="27"/>
            <w:tabs>
              <w:tab w:val="right" w:leader="dot" w:pos="8306"/>
            </w:tabs>
          </w:pPr>
          <w:r>
            <w:fldChar w:fldCharType="begin"/>
          </w:r>
          <w:r>
            <w:instrText xml:space="preserve"> HYPERLINK \l _Toc21940 </w:instrText>
          </w:r>
          <w:r>
            <w:fldChar w:fldCharType="separate"/>
          </w:r>
          <w:r>
            <w:rPr>
              <w:rFonts w:hint="eastAsia" w:ascii="华文楷体" w:hAnsi="华文楷体" w:eastAsia="华文楷体" w:cs="华文楷体"/>
              <w:kern w:val="0"/>
              <w:szCs w:val="32"/>
              <w:lang w:val="en-US" w:eastAsia="zh-CN" w:bidi="ar-SA"/>
            </w:rPr>
            <w:t>十七、不存在禁止参与投保情形承诺书</w:t>
          </w:r>
          <w:r>
            <w:tab/>
          </w:r>
          <w:r>
            <w:fldChar w:fldCharType="begin"/>
          </w:r>
          <w:r>
            <w:instrText xml:space="preserve"> PAGEREF _Toc21940 \h </w:instrText>
          </w:r>
          <w:r>
            <w:fldChar w:fldCharType="separate"/>
          </w:r>
          <w:r>
            <w:t>21</w:t>
          </w:r>
          <w:r>
            <w:fldChar w:fldCharType="end"/>
          </w:r>
          <w:r>
            <w:fldChar w:fldCharType="end"/>
          </w:r>
        </w:p>
        <w:p w14:paraId="416769E3">
          <w:pPr>
            <w:pStyle w:val="27"/>
            <w:tabs>
              <w:tab w:val="right" w:leader="dot" w:pos="8306"/>
            </w:tabs>
          </w:pPr>
          <w:r>
            <w:fldChar w:fldCharType="begin"/>
          </w:r>
          <w:r>
            <w:instrText xml:space="preserve"> HYPERLINK \l _Toc6144 </w:instrText>
          </w:r>
          <w:r>
            <w:fldChar w:fldCharType="separate"/>
          </w:r>
          <w:r>
            <w:rPr>
              <w:rFonts w:hint="eastAsia" w:ascii="华文楷体" w:hAnsi="华文楷体" w:eastAsia="华文楷体" w:cs="华文楷体"/>
              <w:kern w:val="0"/>
              <w:szCs w:val="32"/>
              <w:lang w:val="en-US" w:eastAsia="zh-CN" w:bidi="ar-SA"/>
            </w:rPr>
            <w:t>十八：二次报价承诺书</w:t>
          </w:r>
          <w:r>
            <w:tab/>
          </w:r>
          <w:r>
            <w:fldChar w:fldCharType="begin"/>
          </w:r>
          <w:r>
            <w:instrText xml:space="preserve"> PAGEREF _Toc6144 \h </w:instrText>
          </w:r>
          <w:r>
            <w:fldChar w:fldCharType="separate"/>
          </w:r>
          <w:r>
            <w:t>22</w:t>
          </w:r>
          <w:r>
            <w:fldChar w:fldCharType="end"/>
          </w:r>
          <w:r>
            <w:fldChar w:fldCharType="end"/>
          </w:r>
        </w:p>
        <w:p w14:paraId="02C8CBD2">
          <w:pPr>
            <w:sectPr>
              <w:footerReference r:id="rId3" w:type="default"/>
              <w:pgSz w:w="11906" w:h="16838"/>
              <w:pgMar w:top="1440" w:right="1800" w:bottom="1440" w:left="1800" w:header="851" w:footer="992" w:gutter="0"/>
              <w:pgNumType w:fmt="decimal"/>
              <w:cols w:space="425" w:num="1"/>
              <w:docGrid w:type="lines" w:linePitch="312" w:charSpace="0"/>
            </w:sectPr>
          </w:pPr>
          <w:r>
            <w:fldChar w:fldCharType="end"/>
          </w:r>
        </w:p>
      </w:sdtContent>
    </w:sdt>
    <w:p w14:paraId="0F7C682E">
      <w:pPr>
        <w:pStyle w:val="8"/>
        <w:pageBreakBefore w:val="0"/>
        <w:numPr>
          <w:ilvl w:val="1"/>
          <w:numId w:val="0"/>
        </w:numPr>
        <w:topLinePunct w:val="0"/>
        <w:bidi w:val="0"/>
        <w:snapToGrid/>
        <w:spacing w:line="240" w:lineRule="auto"/>
        <w:jc w:val="center"/>
        <w:outlineLvl w:val="0"/>
        <w:rPr>
          <w:rFonts w:asciiTheme="majorEastAsia" w:hAnsiTheme="majorEastAsia" w:eastAsiaTheme="majorEastAsia"/>
          <w:sz w:val="32"/>
          <w:szCs w:val="32"/>
        </w:rPr>
      </w:pPr>
      <w:bookmarkStart w:id="94" w:name="_GoBack"/>
      <w:bookmarkStart w:id="30" w:name="_Toc23066"/>
      <w:r>
        <w:rPr>
          <w:rFonts w:hint="eastAsia" w:ascii="华文楷体" w:hAnsi="华文楷体" w:eastAsia="华文楷体" w:cs="华文楷体"/>
          <w:color w:val="FF0000"/>
          <w:sz w:val="32"/>
          <w:szCs w:val="32"/>
          <w:lang w:val="en-US" w:eastAsia="zh-CN"/>
        </w:rPr>
        <w:t>一、</w:t>
      </w:r>
      <w:bookmarkStart w:id="31" w:name="_Toc20266"/>
      <w:bookmarkStart w:id="32" w:name="_Toc493600031"/>
      <w:bookmarkStart w:id="33" w:name="_Toc18551"/>
      <w:r>
        <w:rPr>
          <w:rFonts w:hint="eastAsia" w:ascii="华文楷体" w:hAnsi="华文楷体" w:eastAsia="华文楷体" w:cs="华文楷体"/>
          <w:color w:val="FF0000"/>
          <w:sz w:val="32"/>
          <w:szCs w:val="32"/>
          <w:lang w:val="en-US" w:eastAsia="zh-CN"/>
        </w:rPr>
        <w:t>第一轮报价一览表</w:t>
      </w:r>
      <w:bookmarkEnd w:id="29"/>
      <w:bookmarkEnd w:id="30"/>
      <w:bookmarkEnd w:id="31"/>
    </w:p>
    <w:bookmarkEnd w:id="94"/>
    <w:p w14:paraId="2FB695D4">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sz w:val="24"/>
        </w:rPr>
      </w:pPr>
      <w:r>
        <w:rPr>
          <w:rFonts w:hint="eastAsia" w:ascii="华文楷体" w:hAnsi="华文楷体" w:eastAsia="华文楷体" w:cs="华文楷体"/>
          <w:b w:val="0"/>
          <w:bCs/>
          <w:sz w:val="24"/>
        </w:rPr>
        <w:t xml:space="preserve">项目名称：  </w:t>
      </w:r>
      <w:r>
        <w:rPr>
          <w:rFonts w:hint="eastAsia" w:ascii="华文楷体" w:hAnsi="华文楷体" w:eastAsia="华文楷体" w:cs="华文楷体"/>
          <w:b w:val="0"/>
          <w:bCs/>
          <w:color w:val="auto"/>
          <w:kern w:val="2"/>
          <w:sz w:val="28"/>
          <w:szCs w:val="28"/>
          <w:highlight w:val="none"/>
          <w:lang w:val="en-US" w:eastAsia="zh-CN" w:bidi="ar-SA"/>
        </w:rPr>
        <w:t>安宁市第一人民医院消防系统维保服务项目(2024-2027年)</w:t>
      </w:r>
      <w:r>
        <w:rPr>
          <w:rFonts w:hint="eastAsia" w:ascii="华文楷体" w:hAnsi="华文楷体" w:eastAsia="华文楷体" w:cs="华文楷体"/>
          <w:b w:val="0"/>
          <w:bCs/>
          <w:sz w:val="24"/>
        </w:rPr>
        <w:t xml:space="preserve"> </w:t>
      </w:r>
    </w:p>
    <w:p w14:paraId="21FBA767">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sz w:val="24"/>
        </w:rPr>
      </w:pPr>
      <w:r>
        <w:rPr>
          <w:rFonts w:hint="eastAsia" w:ascii="华文楷体" w:hAnsi="华文楷体" w:eastAsia="华文楷体" w:cs="华文楷体"/>
          <w:b w:val="0"/>
          <w:bCs/>
          <w:sz w:val="24"/>
          <w:lang w:eastAsia="zh-CN"/>
        </w:rPr>
        <w:t>项目编号</w:t>
      </w:r>
      <w:r>
        <w:rPr>
          <w:rFonts w:hint="eastAsia" w:ascii="华文楷体" w:hAnsi="华文楷体" w:eastAsia="华文楷体" w:cs="华文楷体"/>
          <w:b w:val="0"/>
          <w:bCs/>
          <w:sz w:val="24"/>
        </w:rPr>
        <w:t>：</w:t>
      </w:r>
      <w:r>
        <w:rPr>
          <w:rFonts w:hint="eastAsia" w:ascii="华文楷体" w:hAnsi="华文楷体" w:eastAsia="华文楷体" w:cs="华文楷体"/>
          <w:b w:val="0"/>
          <w:bCs/>
          <w:color w:val="auto"/>
          <w:sz w:val="28"/>
          <w:szCs w:val="28"/>
          <w:highlight w:val="none"/>
          <w:u w:val="none"/>
          <w:lang w:val="en-US" w:eastAsia="zh-CN"/>
        </w:rPr>
        <w:t>ANYGT-YNTP-2024N124</w:t>
      </w:r>
    </w:p>
    <w:p w14:paraId="00EB4BD4">
      <w:pPr>
        <w:pStyle w:val="11"/>
        <w:rPr>
          <w:rFonts w:hint="eastAsia" w:ascii="华文楷体" w:hAnsi="华文楷体" w:eastAsia="华文楷体" w:cs="华文楷体"/>
          <w:b w:val="0"/>
          <w:bCs/>
        </w:rPr>
      </w:pPr>
    </w:p>
    <w:tbl>
      <w:tblPr>
        <w:tblStyle w:val="21"/>
        <w:tblW w:w="842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4914"/>
      </w:tblGrid>
      <w:tr w14:paraId="343333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59" w:type="dxa"/>
            <w:tcBorders>
              <w:top w:val="single" w:color="auto" w:sz="2" w:space="0"/>
            </w:tcBorders>
            <w:vAlign w:val="center"/>
          </w:tcPr>
          <w:p w14:paraId="11A6CA8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2551" w:type="dxa"/>
            <w:tcBorders>
              <w:top w:val="single" w:color="auto" w:sz="2" w:space="0"/>
            </w:tcBorders>
            <w:vAlign w:val="center"/>
          </w:tcPr>
          <w:p w14:paraId="10F62969">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r>
              <w:rPr>
                <w:rFonts w:hint="eastAsia" w:ascii="华文楷体" w:hAnsi="华文楷体" w:eastAsia="华文楷体" w:cs="华文楷体"/>
                <w:b w:val="0"/>
                <w:bCs/>
                <w:sz w:val="24"/>
                <w:lang w:val="en-US" w:eastAsia="zh-CN"/>
              </w:rPr>
              <w:t>(元/年)</w:t>
            </w:r>
          </w:p>
        </w:tc>
        <w:tc>
          <w:tcPr>
            <w:tcW w:w="4914" w:type="dxa"/>
            <w:tcBorders>
              <w:top w:val="single" w:color="auto" w:sz="2" w:space="0"/>
            </w:tcBorders>
            <w:vAlign w:val="center"/>
          </w:tcPr>
          <w:p w14:paraId="5DC8A04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小写：</w:t>
            </w:r>
          </w:p>
          <w:p w14:paraId="51C2213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大写：</w:t>
            </w:r>
          </w:p>
        </w:tc>
      </w:tr>
      <w:tr w14:paraId="74E9014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59" w:type="dxa"/>
            <w:tcBorders>
              <w:top w:val="single" w:color="auto" w:sz="2" w:space="0"/>
            </w:tcBorders>
            <w:vAlign w:val="center"/>
          </w:tcPr>
          <w:p w14:paraId="3509175F">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2551" w:type="dxa"/>
            <w:tcBorders>
              <w:top w:val="single" w:color="auto" w:sz="2" w:space="0"/>
            </w:tcBorders>
            <w:vAlign w:val="center"/>
          </w:tcPr>
          <w:p w14:paraId="599CFBD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4914" w:type="dxa"/>
            <w:tcBorders>
              <w:top w:val="single" w:color="auto" w:sz="2" w:space="0"/>
            </w:tcBorders>
            <w:vAlign w:val="center"/>
          </w:tcPr>
          <w:p w14:paraId="7A293D1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C7D1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59" w:type="dxa"/>
            <w:tcBorders>
              <w:top w:val="single" w:color="auto" w:sz="2" w:space="0"/>
            </w:tcBorders>
            <w:vAlign w:val="center"/>
          </w:tcPr>
          <w:p w14:paraId="11D3161B">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2551" w:type="dxa"/>
            <w:tcBorders>
              <w:top w:val="single" w:color="auto" w:sz="2" w:space="0"/>
            </w:tcBorders>
            <w:vAlign w:val="center"/>
          </w:tcPr>
          <w:p w14:paraId="339F24E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4914" w:type="dxa"/>
            <w:tcBorders>
              <w:top w:val="single" w:color="auto" w:sz="2" w:space="0"/>
            </w:tcBorders>
            <w:vAlign w:val="center"/>
          </w:tcPr>
          <w:p w14:paraId="57F0404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EF3B7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59" w:type="dxa"/>
            <w:tcBorders>
              <w:top w:val="single" w:color="000000" w:sz="4" w:space="0"/>
            </w:tcBorders>
            <w:vAlign w:val="center"/>
          </w:tcPr>
          <w:p w14:paraId="0CC2AF9A">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2551" w:type="dxa"/>
            <w:tcBorders>
              <w:top w:val="single" w:color="000000" w:sz="4" w:space="0"/>
            </w:tcBorders>
            <w:vAlign w:val="center"/>
          </w:tcPr>
          <w:p w14:paraId="2B22C43A">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4914" w:type="dxa"/>
            <w:tcBorders>
              <w:top w:val="single" w:color="000000" w:sz="4" w:space="0"/>
            </w:tcBorders>
            <w:vAlign w:val="center"/>
          </w:tcPr>
          <w:p w14:paraId="4824617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314AC304">
      <w:pPr>
        <w:spacing w:after="100" w:afterAutospacing="1"/>
        <w:rPr>
          <w:rFonts w:hint="eastAsia" w:ascii="华文楷体" w:hAnsi="华文楷体" w:eastAsia="华文楷体" w:cs="华文楷体"/>
          <w:b w:val="0"/>
          <w:bCs/>
          <w:sz w:val="24"/>
        </w:rPr>
      </w:pPr>
    </w:p>
    <w:p w14:paraId="2C33EBE3">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63D0276A">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法定代表人或委托代理人(签字)：</w:t>
      </w:r>
    </w:p>
    <w:p w14:paraId="760E82B1">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日期：  年  月  日</w:t>
      </w:r>
    </w:p>
    <w:p w14:paraId="15B63769">
      <w:pPr>
        <w:rPr>
          <w:rFonts w:hint="eastAsia" w:ascii="华文楷体" w:hAnsi="华文楷体" w:eastAsia="华文楷体" w:cs="华文楷体"/>
          <w:b w:val="0"/>
          <w:bCs/>
          <w:szCs w:val="20"/>
        </w:rPr>
      </w:pPr>
    </w:p>
    <w:p w14:paraId="0F28FD52">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注：</w:t>
      </w:r>
    </w:p>
    <w:p w14:paraId="28CEA710">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1、响应文件中开标一览表(报价表)内容与响应文件中明细表内容不一致的，以开标一览表(报价表)为准。响应文件的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2519C593">
      <w:pPr>
        <w:tabs>
          <w:tab w:val="left" w:pos="704"/>
        </w:tabs>
        <w:spacing w:line="360" w:lineRule="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2、此表应放于响应文件目录后第一页，以方便查找。</w:t>
      </w:r>
    </w:p>
    <w:p w14:paraId="458BA77E">
      <w:pPr>
        <w:spacing w:line="360" w:lineRule="auto"/>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b w:val="0"/>
          <w:bCs/>
          <w:sz w:val="24"/>
          <w:szCs w:val="24"/>
        </w:rPr>
        <w:t xml:space="preserve">★ 3、本表应盖单位鲜章，法定代表人或委托代理人应签名。 </w:t>
      </w:r>
      <w:bookmarkEnd w:id="32"/>
    </w:p>
    <w:p w14:paraId="7B0449C9">
      <w:pPr>
        <w:pStyle w:val="8"/>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34" w:name="_Toc20829"/>
      <w:bookmarkStart w:id="35" w:name="_Toc30252"/>
      <w:r>
        <w:rPr>
          <w:rFonts w:hint="eastAsia" w:ascii="华文楷体" w:hAnsi="华文楷体" w:eastAsia="华文楷体" w:cs="华文楷体"/>
          <w:color w:val="FF0000"/>
          <w:sz w:val="32"/>
          <w:szCs w:val="32"/>
          <w:lang w:val="en-US" w:eastAsia="zh-CN"/>
        </w:rPr>
        <w:t>二、响应函</w:t>
      </w:r>
      <w:bookmarkEnd w:id="33"/>
      <w:bookmarkEnd w:id="34"/>
      <w:bookmarkEnd w:id="3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安宁市第一人民医院消防系统维保服务项目(2024-2027年)</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ANYGT-YNTP-2024N124</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参加谈判报价，并提交响应文件。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1、按谈判文件项目需求及技术要求，第一轮总报价（大写）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27154055">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pgNumType w:fmt="decimal"/>
          <w:cols w:space="425" w:num="1"/>
          <w:docGrid w:type="lines" w:linePitch="312" w:charSpace="0"/>
        </w:sectPr>
      </w:pPr>
    </w:p>
    <w:p w14:paraId="4270E020">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922" w:firstLineChars="600"/>
        <w:jc w:val="both"/>
        <w:textAlignment w:val="baseline"/>
        <w:outlineLvl w:val="0"/>
        <w:rPr>
          <w:rFonts w:hint="eastAsia" w:ascii="华文楷体" w:hAnsi="华文楷体" w:eastAsia="华文楷体" w:cs="华文楷体"/>
          <w:color w:val="FF0000"/>
          <w:sz w:val="32"/>
          <w:szCs w:val="32"/>
          <w:lang w:val="en-US" w:eastAsia="zh-CN"/>
        </w:rPr>
      </w:pPr>
      <w:bookmarkStart w:id="36" w:name="_Toc17161"/>
      <w:bookmarkStart w:id="37" w:name="_Toc8519"/>
      <w:bookmarkStart w:id="38" w:name="_Toc25991"/>
      <w:r>
        <w:rPr>
          <w:rFonts w:hint="eastAsia" w:ascii="华文楷体" w:hAnsi="华文楷体" w:eastAsia="华文楷体" w:cs="华文楷体"/>
          <w:color w:val="FF0000"/>
          <w:sz w:val="32"/>
          <w:szCs w:val="32"/>
          <w:lang w:val="zh-CN" w:eastAsia="zh-CN"/>
        </w:rPr>
        <w:t>三、项目采购需求偏离表</w:t>
      </w:r>
      <w:bookmarkEnd w:id="36"/>
    </w:p>
    <w:p w14:paraId="5A080ED2">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安宁市第一人民医院消防系统维保服务项目(2024-2027年</w:t>
      </w:r>
    </w:p>
    <w:p w14:paraId="0F8FDEF8">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ANYGT-YNTP-2024N124</w:t>
      </w:r>
    </w:p>
    <w:tbl>
      <w:tblPr>
        <w:tblStyle w:val="21"/>
        <w:tblW w:w="9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547"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服务内容</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采购需求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响应文件对应规范</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偏离情况</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547"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547"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547"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4282366B">
      <w:pPr>
        <w:spacing w:line="400" w:lineRule="exact"/>
        <w:ind w:right="482"/>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表格中“偏离”一列，供应商只能如实填写“正偏离”、“负偏离”或“无偏离”。凡投标内容高于谈判文件要求的，按“正偏离”填写；低于谈判文件要求的，按“负偏离”填写；满足谈判文件要求的，按“无偏离”填写。并在“磋商响应文件对应规范”一列中写明技术参数。</w:t>
      </w:r>
    </w:p>
    <w:p w14:paraId="78156E53">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p>
    <w:p w14:paraId="02AD1899">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8"/>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37"/>
    <w:p w14:paraId="3EC31D8B">
      <w:pPr>
        <w:pStyle w:val="9"/>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9"/>
        <w:rPr>
          <w:rFonts w:hint="eastAsia" w:ascii="华文楷体" w:hAnsi="华文楷体" w:eastAsia="华文楷体" w:cs="华文楷体"/>
          <w:b/>
          <w:color w:val="FF0000"/>
          <w:kern w:val="0"/>
          <w:sz w:val="32"/>
          <w:szCs w:val="32"/>
          <w:lang w:val="zh-CN" w:eastAsia="zh-CN" w:bidi="ar-SA"/>
        </w:rPr>
      </w:pPr>
      <w:bookmarkStart w:id="39" w:name="_Toc13398"/>
      <w:bookmarkStart w:id="40" w:name="_Toc493600038"/>
      <w:bookmarkStart w:id="41" w:name="_Toc87445179"/>
      <w:bookmarkStart w:id="42" w:name="_Toc351391183"/>
      <w:bookmarkStart w:id="43" w:name="_Toc205269530"/>
      <w:bookmarkStart w:id="44" w:name="_Toc10217844"/>
      <w:bookmarkStart w:id="45" w:name="_Toc389130506"/>
      <w:bookmarkStart w:id="46" w:name="_Toc20950"/>
    </w:p>
    <w:p w14:paraId="4B938409">
      <w:pPr>
        <w:pStyle w:val="9"/>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zh-CN" w:eastAsia="zh-CN" w:bidi="ar-SA"/>
        </w:rPr>
      </w:pPr>
    </w:p>
    <w:p w14:paraId="7411228B">
      <w:pPr>
        <w:pStyle w:val="9"/>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zh-CN" w:eastAsia="zh-CN" w:bidi="ar-SA"/>
        </w:rPr>
      </w:pPr>
    </w:p>
    <w:p w14:paraId="11AE9615">
      <w:pPr>
        <w:pStyle w:val="9"/>
        <w:keepNext w:val="0"/>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47" w:name="_Toc1911"/>
      <w:bookmarkStart w:id="48" w:name="_Toc21413"/>
      <w:r>
        <w:rPr>
          <w:rFonts w:hint="eastAsia" w:ascii="华文楷体" w:hAnsi="华文楷体" w:eastAsia="华文楷体" w:cs="华文楷体"/>
          <w:b/>
          <w:color w:val="FF0000"/>
          <w:kern w:val="0"/>
          <w:sz w:val="32"/>
          <w:szCs w:val="32"/>
          <w:lang w:val="zh-CN" w:eastAsia="zh-CN" w:bidi="ar-SA"/>
        </w:rPr>
        <w:t>四、响应人信息表</w:t>
      </w:r>
      <w:bookmarkEnd w:id="39"/>
      <w:bookmarkEnd w:id="40"/>
      <w:bookmarkEnd w:id="41"/>
      <w:bookmarkEnd w:id="47"/>
      <w:bookmarkEnd w:id="48"/>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9" w:name="OLE_LINK22"/>
            <w:bookmarkStart w:id="50"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9"/>
            <w:bookmarkEnd w:id="50"/>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8CC0C02">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8"/>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51" w:name="_Toc1789"/>
      <w:bookmarkStart w:id="52" w:name="_Toc27876"/>
      <w:r>
        <w:rPr>
          <w:rFonts w:hint="eastAsia" w:ascii="华文楷体" w:hAnsi="华文楷体" w:eastAsia="华文楷体" w:cs="华文楷体"/>
          <w:color w:val="FF0000"/>
          <w:sz w:val="32"/>
          <w:szCs w:val="32"/>
          <w:lang w:val="en-US" w:eastAsia="zh-CN"/>
        </w:rPr>
        <w:t>五、法定代表人(负责人)身份证明书</w:t>
      </w:r>
      <w:bookmarkEnd w:id="42"/>
      <w:bookmarkEnd w:id="43"/>
      <w:bookmarkEnd w:id="44"/>
      <w:bookmarkEnd w:id="45"/>
      <w:bookmarkEnd w:id="46"/>
      <w:bookmarkEnd w:id="51"/>
      <w:bookmarkEnd w:id="52"/>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12"/>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21"/>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5"/>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8"/>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9"/>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53" w:name="_Toc21393"/>
      <w:bookmarkStart w:id="54" w:name="_Toc18719"/>
      <w:bookmarkStart w:id="55" w:name="_Toc28126"/>
      <w:r>
        <w:rPr>
          <w:rFonts w:hint="eastAsia" w:ascii="华文楷体" w:hAnsi="华文楷体" w:eastAsia="华文楷体" w:cs="华文楷体"/>
          <w:b/>
          <w:color w:val="FF0000"/>
          <w:kern w:val="0"/>
          <w:sz w:val="32"/>
          <w:szCs w:val="32"/>
          <w:lang w:val="en-US" w:eastAsia="zh-CN" w:bidi="ar-SA"/>
        </w:rPr>
        <w:t>六、法定代表人（负责人）授权委托书</w:t>
      </w:r>
      <w:bookmarkEnd w:id="53"/>
      <w:bookmarkEnd w:id="54"/>
      <w:bookmarkEnd w:id="55"/>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安宁市第一人民医院消防系统维保服务项目(2024-2027年)</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21"/>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21"/>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13"/>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5"/>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9"/>
        <w:pageBreakBefore w:val="0"/>
        <w:numPr>
          <w:ilvl w:val="0"/>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56" w:name="_Toc3594"/>
      <w:bookmarkStart w:id="57" w:name="_Toc15097"/>
      <w:r>
        <w:rPr>
          <w:rFonts w:hint="eastAsia" w:ascii="华文楷体" w:hAnsi="华文楷体" w:eastAsia="华文楷体" w:cs="华文楷体"/>
          <w:b/>
          <w:color w:val="FF0000"/>
          <w:kern w:val="0"/>
          <w:sz w:val="32"/>
          <w:szCs w:val="32"/>
          <w:lang w:val="en-US" w:eastAsia="zh-CN" w:bidi="ar-SA"/>
        </w:rPr>
        <w:t>七、委托代理人社保缴纳证明</w:t>
      </w:r>
      <w:bookmarkEnd w:id="56"/>
      <w:bookmarkEnd w:id="57"/>
    </w:p>
    <w:p w14:paraId="40EC0322">
      <w:pPr>
        <w:numPr>
          <w:ilvl w:val="0"/>
          <w:numId w:val="0"/>
        </w:numPr>
        <w:rPr>
          <w:rFonts w:hint="eastAsia" w:ascii="华文楷体" w:hAnsi="华文楷体" w:eastAsia="华文楷体" w:cs="华文楷体"/>
          <w:color w:val="auto"/>
          <w:sz w:val="24"/>
          <w:szCs w:val="24"/>
          <w:lang w:eastAsia="zh-CN"/>
        </w:rPr>
      </w:pPr>
      <w:r>
        <w:rPr>
          <w:rFonts w:hint="eastAsia" w:ascii="华文楷体" w:hAnsi="华文楷体" w:eastAsia="华文楷体" w:cs="华文楷体"/>
          <w:color w:val="auto"/>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5"/>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D3BD48A">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0E73F77">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23BB405">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05B80AA">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267D4713">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DCC0CF3">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3B481B7D">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2643585">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8B5C564">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81BF647">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8D263DB">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7D52690B">
      <w:pPr>
        <w:pStyle w:val="10"/>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9F62053">
      <w:pPr>
        <w:pStyle w:val="10"/>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690245F6">
      <w:pPr>
        <w:pStyle w:val="10"/>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46C6BE69">
      <w:pPr>
        <w:pStyle w:val="10"/>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sz w:val="24"/>
          <w:szCs w:val="24"/>
          <w:lang w:val="en-US" w:eastAsia="zh-CN"/>
        </w:rPr>
      </w:pPr>
      <w:bookmarkStart w:id="58" w:name="_Toc29955"/>
      <w:bookmarkStart w:id="59" w:name="_Toc254"/>
      <w:r>
        <w:rPr>
          <w:rFonts w:hint="eastAsia" w:ascii="华文楷体" w:hAnsi="华文楷体" w:eastAsia="华文楷体" w:cs="华文楷体"/>
          <w:b/>
          <w:color w:val="FF0000"/>
          <w:kern w:val="0"/>
          <w:sz w:val="32"/>
          <w:szCs w:val="32"/>
          <w:lang w:val="en-US" w:eastAsia="zh-CN" w:bidi="ar-SA"/>
        </w:rPr>
        <w:t>八、</w:t>
      </w:r>
      <w:bookmarkStart w:id="60" w:name="_Toc20602"/>
      <w:r>
        <w:rPr>
          <w:rFonts w:hint="eastAsia" w:ascii="华文楷体" w:hAnsi="华文楷体" w:eastAsia="华文楷体" w:cs="华文楷体"/>
          <w:b/>
          <w:color w:val="FF0000"/>
          <w:kern w:val="0"/>
          <w:sz w:val="32"/>
          <w:szCs w:val="32"/>
          <w:lang w:val="en-US" w:eastAsia="zh-CN" w:bidi="ar-SA"/>
        </w:rPr>
        <w:t>服务质量承诺</w:t>
      </w:r>
      <w:bookmarkEnd w:id="58"/>
      <w:bookmarkEnd w:id="59"/>
      <w:bookmarkEnd w:id="60"/>
    </w:p>
    <w:p w14:paraId="5F1CBDD1">
      <w:pPr>
        <w:keepNext w:val="0"/>
        <w:keepLines w:val="0"/>
        <w:pageBreakBefore w:val="0"/>
        <w:kinsoku/>
        <w:wordWrap/>
        <w:overflowPunct/>
        <w:topLinePunct w:val="0"/>
        <w:autoSpaceDE/>
        <w:autoSpaceDN/>
        <w:bidi w:val="0"/>
        <w:adjustRightInd/>
        <w:snapToGrid/>
        <w:spacing w:line="500" w:lineRule="exact"/>
        <w:jc w:val="both"/>
        <w:textAlignment w:val="auto"/>
        <w:rPr>
          <w:rFonts w:hint="eastAsia" w:ascii="华文楷体" w:hAnsi="华文楷体" w:eastAsia="华文楷体" w:cs="华文楷体"/>
          <w:b/>
          <w:sz w:val="24"/>
          <w:szCs w:val="24"/>
          <w:lang w:eastAsia="zh-CN"/>
        </w:rPr>
      </w:pPr>
      <w:r>
        <w:rPr>
          <w:rFonts w:hint="eastAsia" w:ascii="华文楷体" w:hAnsi="华文楷体" w:eastAsia="华文楷体" w:cs="华文楷体"/>
          <w:b/>
          <w:sz w:val="24"/>
          <w:szCs w:val="24"/>
        </w:rPr>
        <w:t>致：</w:t>
      </w:r>
      <w:r>
        <w:rPr>
          <w:rFonts w:hint="eastAsia" w:ascii="华文楷体" w:hAnsi="华文楷体" w:eastAsia="华文楷体" w:cs="华文楷体"/>
          <w:b/>
          <w:sz w:val="24"/>
          <w:szCs w:val="24"/>
          <w:lang w:eastAsia="zh-CN"/>
        </w:rPr>
        <w:t>安宁市第一人民医院</w:t>
      </w:r>
    </w:p>
    <w:p w14:paraId="602305FF">
      <w:pPr>
        <w:keepNext w:val="0"/>
        <w:keepLines w:val="0"/>
        <w:pageBreakBefore w:val="0"/>
        <w:kinsoku/>
        <w:wordWrap/>
        <w:overflowPunct/>
        <w:topLinePunct w:val="0"/>
        <w:autoSpaceDE/>
        <w:autoSpaceDN/>
        <w:bidi w:val="0"/>
        <w:adjustRightInd/>
        <w:snapToGrid/>
        <w:spacing w:line="500" w:lineRule="exact"/>
        <w:ind w:firstLine="480" w:firstLineChars="200"/>
        <w:jc w:val="both"/>
        <w:textAlignment w:val="auto"/>
        <w:rPr>
          <w:rFonts w:hint="eastAsia" w:ascii="华文楷体" w:hAnsi="华文楷体" w:eastAsia="华文楷体" w:cs="华文楷体"/>
          <w:kern w:val="0"/>
          <w:sz w:val="24"/>
          <w:szCs w:val="24"/>
          <w:lang w:val="en-US" w:eastAsia="zh-CN" w:bidi="ar-SA"/>
        </w:rPr>
      </w:pPr>
      <w:r>
        <w:rPr>
          <w:rFonts w:hint="eastAsia" w:ascii="华文楷体" w:hAnsi="华文楷体" w:eastAsia="华文楷体" w:cs="华文楷体"/>
          <w:kern w:val="0"/>
          <w:sz w:val="24"/>
          <w:szCs w:val="24"/>
          <w:lang w:val="en-US" w:eastAsia="zh-CN" w:bidi="ar-SA"/>
        </w:rPr>
        <w:t>我方承诺，若我公司为贵单位提供消防维保服务，我公司将保证按照该承诺提供服务。</w:t>
      </w:r>
    </w:p>
    <w:p w14:paraId="26282937">
      <w:pPr>
        <w:keepNext w:val="0"/>
        <w:keepLines w:val="0"/>
        <w:pageBreakBefore w:val="0"/>
        <w:kinsoku/>
        <w:wordWrap/>
        <w:overflowPunct/>
        <w:topLinePunct w:val="0"/>
        <w:autoSpaceDE/>
        <w:autoSpaceDN/>
        <w:bidi w:val="0"/>
        <w:adjustRightInd/>
        <w:snapToGrid/>
        <w:spacing w:line="500" w:lineRule="exact"/>
        <w:ind w:firstLine="480" w:firstLineChars="200"/>
        <w:jc w:val="both"/>
        <w:textAlignment w:val="auto"/>
        <w:rPr>
          <w:rFonts w:hint="eastAsia" w:ascii="华文楷体" w:hAnsi="华文楷体" w:eastAsia="华文楷体" w:cs="华文楷体"/>
          <w:kern w:val="0"/>
          <w:sz w:val="24"/>
          <w:szCs w:val="24"/>
          <w:lang w:val="en-US" w:eastAsia="zh-CN" w:bidi="ar-SA"/>
        </w:rPr>
      </w:pPr>
      <w:r>
        <w:rPr>
          <w:rFonts w:hint="eastAsia" w:ascii="华文楷体" w:hAnsi="华文楷体" w:eastAsia="华文楷体" w:cs="华文楷体"/>
          <w:kern w:val="0"/>
          <w:sz w:val="24"/>
          <w:szCs w:val="24"/>
          <w:lang w:val="en-US" w:eastAsia="zh-CN" w:bidi="ar-SA"/>
        </w:rPr>
        <w:t>具体承诺如下：</w:t>
      </w:r>
    </w:p>
    <w:p w14:paraId="4098F81E">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0"/>
        <w:rPr>
          <w:rFonts w:hint="eastAsia" w:ascii="华文楷体" w:hAnsi="华文楷体" w:eastAsia="华文楷体" w:cs="华文楷体"/>
          <w:sz w:val="24"/>
          <w:szCs w:val="24"/>
        </w:rPr>
      </w:pPr>
      <w:bookmarkStart w:id="61" w:name="_Toc3742"/>
      <w:r>
        <w:rPr>
          <w:rFonts w:hint="eastAsia" w:ascii="华文楷体" w:hAnsi="华文楷体" w:eastAsia="华文楷体" w:cs="华文楷体"/>
          <w:sz w:val="24"/>
          <w:szCs w:val="24"/>
        </w:rPr>
        <w:t>一、对下列设施进行全面检查维护，并保证其消防设施、设备运行状况良好：</w:t>
      </w:r>
      <w:bookmarkEnd w:id="61"/>
    </w:p>
    <w:p w14:paraId="1F5AB6C3">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1、 水消防栓箱</w:t>
      </w:r>
    </w:p>
    <w:p w14:paraId="33F657AB">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保养范围包括：楼顶水箱自动补水及稳压设施、消防水池自动补水、消防控制箱、消防水泵、消防管道、消防按钮、消防电线、消防水带、卷盘、水带接口、消防水枪等配套设施。</w:t>
      </w:r>
    </w:p>
    <w:p w14:paraId="63FC1B0F">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2、 消防喷淋系统</w:t>
      </w:r>
    </w:p>
    <w:p w14:paraId="66CBEA25">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保养范围包括：消防控制箱、消防喷淋泵、消防管道、报警阀、水力警铃、水流指示器、各种闸阀、压力开关、排气阀、接合器等等。</w:t>
      </w:r>
    </w:p>
    <w:p w14:paraId="5F5F3868">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3、火灾自动报警系统</w:t>
      </w:r>
    </w:p>
    <w:p w14:paraId="66635B8D">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保养范围包括</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火灾报警主机、智能烟感探测器、智能温感探测器、智能手动报警按钮、智能模块、智能区域显示器、联动电源、智能报警线路、消防广播、消防电话。</w:t>
      </w:r>
    </w:p>
    <w:p w14:paraId="32B63658">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4、防烟系统</w:t>
      </w:r>
    </w:p>
    <w:p w14:paraId="204125B8">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保养范围包括：风机、防火阀、风机控制箱、风机联动控制。</w:t>
      </w:r>
    </w:p>
    <w:p w14:paraId="0AE6201A">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5、送新风系统</w:t>
      </w:r>
    </w:p>
    <w:p w14:paraId="081B8E59">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保养范围包括：风机、正压送风口、风机控制箱、风机联动控制。</w:t>
      </w:r>
    </w:p>
    <w:p w14:paraId="1E06843E">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5、防火门监控系统</w:t>
      </w:r>
    </w:p>
    <w:p w14:paraId="478EE194">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保养范围包括：防火门、防火门联动控制。</w:t>
      </w:r>
    </w:p>
    <w:p w14:paraId="076122B5">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6、应急照明、智能疏散系统</w:t>
      </w:r>
    </w:p>
    <w:p w14:paraId="074757D3">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保养范围包括：应急灯、疏散指示、报警联动控制、手动控制</w:t>
      </w:r>
    </w:p>
    <w:p w14:paraId="399C5AE1">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7、消防电源监控系统及防火漏电保护系统</w:t>
      </w:r>
    </w:p>
    <w:p w14:paraId="5838AA76">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outlineLvl w:val="0"/>
        <w:rPr>
          <w:rFonts w:hint="eastAsia" w:ascii="华文楷体" w:hAnsi="华文楷体" w:eastAsia="华文楷体" w:cs="华文楷体"/>
          <w:sz w:val="24"/>
          <w:szCs w:val="24"/>
        </w:rPr>
      </w:pPr>
      <w:bookmarkStart w:id="62" w:name="_Toc20391"/>
      <w:r>
        <w:rPr>
          <w:rFonts w:hint="eastAsia" w:ascii="华文楷体" w:hAnsi="华文楷体" w:eastAsia="华文楷体" w:cs="华文楷体"/>
          <w:sz w:val="24"/>
          <w:szCs w:val="24"/>
        </w:rPr>
        <w:t>保养范围包括：监控模块状态检查、系统联动及手动控制</w:t>
      </w:r>
      <w:bookmarkEnd w:id="62"/>
    </w:p>
    <w:p w14:paraId="7FD2D587">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p>
    <w:p w14:paraId="239A40AA">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二、提供有关的消防技术指导，24小时紧急抢修服务，每月定期派专人进行壹次工程检查调试，并将调试报告提供给贵单位，确保消防系统正常待命；</w:t>
      </w:r>
    </w:p>
    <w:p w14:paraId="5B63C164">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三、对消防设施操作管理人员进行义务培训，传授专业知识，使之能正确操作，具有排除一般故障技能，培训内容有：</w:t>
      </w:r>
    </w:p>
    <w:p w14:paraId="555307C6">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1、有关消防法规、消防安全制度和消防安全的操作规程；</w:t>
      </w:r>
    </w:p>
    <w:p w14:paraId="3CF7DC1C">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2、本部门、本岗位的火灾危险性和防火措施；</w:t>
      </w:r>
    </w:p>
    <w:p w14:paraId="6433E485">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3、有关消防设施的性能、灭火器材的使用方法；</w:t>
      </w:r>
    </w:p>
    <w:p w14:paraId="1E602A7A">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4、报火警、扑救初起火灾以及自救逃生的知识和技能。</w:t>
      </w:r>
    </w:p>
    <w:p w14:paraId="54321F1C">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真正达到起火部位员工1分钟内形成第一灭火力量，在3分钟内形成第二灭火力量，成功扑救初期火灾。并协助操作管理人员建立《消防值班人员职责》、《消防控制室管理制度》、《消防设施维保管理制度》等消防管理的规章制度。</w:t>
      </w:r>
    </w:p>
    <w:p w14:paraId="6289F25E">
      <w:pPr>
        <w:pStyle w:val="20"/>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特此承诺。</w:t>
      </w:r>
    </w:p>
    <w:p w14:paraId="76789D96">
      <w:pPr>
        <w:keepNext w:val="0"/>
        <w:keepLines w:val="0"/>
        <w:pageBreakBefore w:val="0"/>
        <w:kinsoku/>
        <w:wordWrap/>
        <w:overflowPunct/>
        <w:topLinePunct w:val="0"/>
        <w:autoSpaceDE/>
        <w:autoSpaceDN/>
        <w:bidi w:val="0"/>
        <w:adjustRightInd/>
        <w:snapToGrid/>
        <w:spacing w:line="500" w:lineRule="exact"/>
        <w:jc w:val="center"/>
        <w:textAlignment w:val="auto"/>
        <w:rPr>
          <w:rStyle w:val="31"/>
          <w:rFonts w:hint="eastAsia" w:ascii="华文楷体" w:hAnsi="华文楷体" w:eastAsia="华文楷体" w:cs="华文楷体"/>
          <w:b w:val="0"/>
          <w:bCs w:val="0"/>
          <w:sz w:val="24"/>
          <w:szCs w:val="24"/>
        </w:rPr>
      </w:pPr>
    </w:p>
    <w:p w14:paraId="5BD1FC46">
      <w:pPr>
        <w:keepNext w:val="0"/>
        <w:keepLines w:val="0"/>
        <w:pageBreakBefore w:val="0"/>
        <w:kinsoku/>
        <w:wordWrap/>
        <w:overflowPunct/>
        <w:topLinePunct w:val="0"/>
        <w:autoSpaceDE/>
        <w:autoSpaceDN/>
        <w:bidi w:val="0"/>
        <w:adjustRightInd/>
        <w:snapToGrid/>
        <w:spacing w:line="500" w:lineRule="exact"/>
        <w:ind w:firstLine="480" w:firstLineChars="200"/>
        <w:jc w:val="righ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供应商全称（加盖公章）：</w:t>
      </w:r>
    </w:p>
    <w:p w14:paraId="3D7AF07C">
      <w:pPr>
        <w:keepNext w:val="0"/>
        <w:keepLines w:val="0"/>
        <w:pageBreakBefore w:val="0"/>
        <w:kinsoku/>
        <w:wordWrap/>
        <w:overflowPunct/>
        <w:topLinePunct w:val="0"/>
        <w:autoSpaceDE/>
        <w:autoSpaceDN/>
        <w:bidi w:val="0"/>
        <w:adjustRightInd/>
        <w:snapToGrid/>
        <w:spacing w:line="500" w:lineRule="exact"/>
        <w:ind w:firstLine="480" w:firstLineChars="200"/>
        <w:jc w:val="righ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法定代表人或委托代理人(签字)：</w:t>
      </w:r>
    </w:p>
    <w:p w14:paraId="198082ED">
      <w:pPr>
        <w:keepNext w:val="0"/>
        <w:keepLines w:val="0"/>
        <w:pageBreakBefore w:val="0"/>
        <w:kinsoku/>
        <w:wordWrap/>
        <w:overflowPunct/>
        <w:topLinePunct w:val="0"/>
        <w:autoSpaceDE/>
        <w:autoSpaceDN/>
        <w:bidi w:val="0"/>
        <w:adjustRightInd/>
        <w:snapToGrid/>
        <w:spacing w:line="500" w:lineRule="exact"/>
        <w:jc w:val="right"/>
        <w:textAlignment w:val="auto"/>
        <w:rPr>
          <w:rStyle w:val="31"/>
          <w:rFonts w:hint="eastAsia" w:ascii="华文楷体" w:hAnsi="华文楷体" w:eastAsia="华文楷体" w:cs="华文楷体"/>
          <w:sz w:val="24"/>
          <w:szCs w:val="24"/>
        </w:rPr>
      </w:pPr>
      <w:r>
        <w:rPr>
          <w:rFonts w:hint="eastAsia" w:ascii="华文楷体" w:hAnsi="华文楷体" w:eastAsia="华文楷体" w:cs="华文楷体"/>
          <w:sz w:val="24"/>
          <w:szCs w:val="24"/>
        </w:rPr>
        <w:t>日 期：</w:t>
      </w:r>
      <w:r>
        <w:rPr>
          <w:rFonts w:hint="eastAsia" w:ascii="华文楷体" w:hAnsi="华文楷体" w:eastAsia="华文楷体" w:cs="华文楷体"/>
          <w:sz w:val="24"/>
          <w:szCs w:val="24"/>
        </w:rPr>
        <w:tab/>
      </w:r>
      <w:r>
        <w:rPr>
          <w:rFonts w:hint="eastAsia" w:ascii="华文楷体" w:hAnsi="华文楷体" w:eastAsia="华文楷体" w:cs="华文楷体"/>
          <w:sz w:val="24"/>
          <w:szCs w:val="24"/>
        </w:rPr>
        <w:t>年</w:t>
      </w:r>
      <w:r>
        <w:rPr>
          <w:rFonts w:hint="eastAsia" w:ascii="华文楷体" w:hAnsi="华文楷体" w:eastAsia="华文楷体" w:cs="华文楷体"/>
          <w:sz w:val="24"/>
          <w:szCs w:val="24"/>
        </w:rPr>
        <w:tab/>
      </w:r>
      <w:r>
        <w:rPr>
          <w:rFonts w:hint="eastAsia" w:ascii="华文楷体" w:hAnsi="华文楷体" w:eastAsia="华文楷体" w:cs="华文楷体"/>
          <w:sz w:val="24"/>
          <w:szCs w:val="24"/>
        </w:rPr>
        <w:t>月</w:t>
      </w:r>
      <w:r>
        <w:rPr>
          <w:rFonts w:hint="eastAsia" w:ascii="华文楷体" w:hAnsi="华文楷体" w:eastAsia="华文楷体" w:cs="华文楷体"/>
          <w:sz w:val="24"/>
          <w:szCs w:val="24"/>
        </w:rPr>
        <w:tab/>
      </w:r>
      <w:r>
        <w:rPr>
          <w:rFonts w:hint="eastAsia" w:ascii="华文楷体" w:hAnsi="华文楷体" w:eastAsia="华文楷体" w:cs="华文楷体"/>
          <w:sz w:val="24"/>
          <w:szCs w:val="24"/>
        </w:rPr>
        <w:t>日</w:t>
      </w:r>
    </w:p>
    <w:p w14:paraId="665E2939">
      <w:pPr>
        <w:pStyle w:val="9"/>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9"/>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10"/>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5"/>
        <w:rPr>
          <w:rFonts w:hint="eastAsia" w:ascii="华文楷体" w:hAnsi="华文楷体" w:eastAsia="华文楷体" w:cs="华文楷体"/>
          <w:sz w:val="32"/>
          <w:szCs w:val="32"/>
          <w:lang w:val="en-US" w:eastAsia="zh-CN"/>
        </w:rPr>
      </w:pPr>
    </w:p>
    <w:p w14:paraId="7E461CD7">
      <w:pPr>
        <w:pStyle w:val="10"/>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3E42A13E">
      <w:pPr>
        <w:pStyle w:val="10"/>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FC2F647">
      <w:pPr>
        <w:pStyle w:val="10"/>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2EE34AF3">
      <w:pPr>
        <w:pStyle w:val="10"/>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033B2430">
      <w:pPr>
        <w:pStyle w:val="10"/>
        <w:keepNext w:val="0"/>
        <w:keepLines/>
        <w:pageBreakBefore w:val="0"/>
        <w:widowControl w:val="0"/>
        <w:kinsoku/>
        <w:wordWrap/>
        <w:overflowPunct/>
        <w:topLinePunct w:val="0"/>
        <w:autoSpaceDE/>
        <w:autoSpaceDN/>
        <w:bidi w:val="0"/>
        <w:adjustRightInd/>
        <w:snapToGrid/>
        <w:spacing w:before="0" w:after="0" w:line="240" w:lineRule="auto"/>
        <w:ind w:firstLine="2242" w:firstLineChars="7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63" w:name="_Toc22491"/>
      <w:bookmarkStart w:id="64" w:name="_Toc29700"/>
      <w:r>
        <w:rPr>
          <w:rFonts w:hint="eastAsia" w:ascii="华文楷体" w:hAnsi="华文楷体" w:eastAsia="华文楷体" w:cs="华文楷体"/>
          <w:b/>
          <w:color w:val="FF0000"/>
          <w:kern w:val="0"/>
          <w:sz w:val="32"/>
          <w:szCs w:val="32"/>
          <w:lang w:val="en-US" w:eastAsia="zh-CN" w:bidi="ar-SA"/>
        </w:rPr>
        <w:t>九、响应人资格文件</w:t>
      </w:r>
      <w:bookmarkEnd w:id="63"/>
      <w:bookmarkEnd w:id="64"/>
    </w:p>
    <w:p w14:paraId="101C0E4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bookmarkStart w:id="65" w:name="_Toc15525"/>
      <w:bookmarkStart w:id="66" w:name="_Toc9085"/>
      <w:r>
        <w:rPr>
          <w:rFonts w:hint="eastAsia" w:ascii="华文楷体" w:hAnsi="华文楷体" w:eastAsia="华文楷体" w:cs="华文楷体"/>
          <w:b w:val="0"/>
          <w:bCs w:val="0"/>
          <w:kern w:val="2"/>
          <w:sz w:val="24"/>
          <w:szCs w:val="24"/>
          <w:u w:val="none"/>
          <w:lang w:val="en-US" w:eastAsia="zh-CN" w:bidi="ar-SA"/>
        </w:rPr>
        <w:t>1、营业执照</w:t>
      </w:r>
      <w:bookmarkEnd w:id="65"/>
      <w:bookmarkEnd w:id="66"/>
      <w:r>
        <w:rPr>
          <w:rFonts w:hint="eastAsia" w:ascii="华文楷体" w:hAnsi="华文楷体" w:eastAsia="华文楷体" w:cs="华文楷体"/>
          <w:b w:val="0"/>
          <w:bCs w:val="0"/>
          <w:kern w:val="2"/>
          <w:sz w:val="24"/>
          <w:szCs w:val="24"/>
          <w:u w:val="none"/>
          <w:lang w:val="en-US" w:eastAsia="zh-CN" w:bidi="ar-SA"/>
        </w:rPr>
        <w:t>（三证合一）供应商营业执照：要求清晰反映企业法人经营范围，供应商有效的税务登记证供应商有效的组织机构代码证</w:t>
      </w:r>
      <w:bookmarkStart w:id="67" w:name="_Toc20752"/>
      <w:r>
        <w:rPr>
          <w:rFonts w:hint="eastAsia" w:ascii="华文楷体" w:hAnsi="华文楷体" w:eastAsia="华文楷体" w:cs="华文楷体"/>
          <w:b w:val="0"/>
          <w:bCs w:val="0"/>
          <w:kern w:val="2"/>
          <w:sz w:val="24"/>
          <w:szCs w:val="24"/>
          <w:u w:val="none"/>
          <w:lang w:val="en-US" w:eastAsia="zh-CN" w:bidi="ar-SA"/>
        </w:rPr>
        <w:t>；2、供应商须符合应急部关于印发《消防技术服务机构从业条件》的通知（应急〔2019〕88 号）中《消防技术服务机构从业条件》第三条“从事消防设施维护保养检测服务的消防技术服务机构”的规定，提供供应商在“社会消防技术服务信息系统”和“云南省消防技术服务管理平台”查询截图；</w:t>
      </w:r>
      <w:bookmarkEnd w:id="67"/>
      <w:bookmarkStart w:id="68" w:name="_Toc3555"/>
      <w:r>
        <w:rPr>
          <w:rFonts w:hint="eastAsia" w:ascii="华文楷体" w:hAnsi="华文楷体" w:eastAsia="华文楷体" w:cs="华文楷体"/>
          <w:b w:val="0"/>
          <w:bCs w:val="0"/>
          <w:kern w:val="2"/>
          <w:sz w:val="24"/>
          <w:szCs w:val="24"/>
          <w:u w:val="none"/>
          <w:lang w:val="en-US" w:eastAsia="zh-CN" w:bidi="ar-SA"/>
        </w:rPr>
        <w:t>3、项目负责人应当具备一级注册消防工程师资格，提供注册消防工程师证书并提供相应证明，能证明为本公司在职人员</w:t>
      </w:r>
      <w:bookmarkEnd w:id="68"/>
      <w:r>
        <w:rPr>
          <w:rFonts w:hint="eastAsia" w:ascii="华文楷体" w:hAnsi="华文楷体" w:eastAsia="华文楷体" w:cs="华文楷体"/>
          <w:b w:val="0"/>
          <w:bCs w:val="0"/>
          <w:kern w:val="2"/>
          <w:sz w:val="24"/>
          <w:szCs w:val="24"/>
          <w:u w:val="none"/>
          <w:lang w:val="en-US" w:eastAsia="zh-CN" w:bidi="ar-SA"/>
        </w:rPr>
        <w:t>。</w:t>
      </w:r>
    </w:p>
    <w:p w14:paraId="6F772026">
      <w:pPr>
        <w:pStyle w:val="8"/>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8"/>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8"/>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8"/>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DE0C11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262731BC">
      <w:pPr>
        <w:jc w:val="center"/>
        <w:rPr>
          <w:rStyle w:val="31"/>
          <w:rFonts w:hint="eastAsia" w:ascii="华文楷体" w:hAnsi="华文楷体" w:eastAsia="华文楷体" w:cs="华文楷体"/>
          <w:b w:val="0"/>
          <w:bCs w:val="0"/>
          <w:sz w:val="24"/>
          <w:szCs w:val="24"/>
        </w:rPr>
      </w:pPr>
      <w:bookmarkStart w:id="69" w:name="_Toc4417"/>
      <w:r>
        <w:rPr>
          <w:rFonts w:hint="eastAsia" w:ascii="华文楷体" w:hAnsi="华文楷体" w:eastAsia="华文楷体" w:cs="华文楷体"/>
          <w:b/>
          <w:color w:val="FF0000"/>
          <w:kern w:val="0"/>
          <w:sz w:val="32"/>
          <w:szCs w:val="32"/>
          <w:lang w:val="en-US" w:eastAsia="zh-CN" w:bidi="ar-SA"/>
        </w:rPr>
        <w:t>十、服务保证措施</w:t>
      </w:r>
      <w:bookmarkEnd w:id="69"/>
      <w:r>
        <w:rPr>
          <w:rStyle w:val="31"/>
          <w:rFonts w:hint="eastAsia" w:ascii="华文楷体" w:hAnsi="华文楷体" w:eastAsia="华文楷体" w:cs="华文楷体"/>
          <w:b w:val="0"/>
          <w:bCs w:val="0"/>
          <w:sz w:val="24"/>
          <w:szCs w:val="24"/>
        </w:rPr>
        <w:t>（</w:t>
      </w:r>
      <w:r>
        <w:rPr>
          <w:rStyle w:val="31"/>
          <w:rFonts w:hint="eastAsia" w:ascii="华文楷体" w:hAnsi="华文楷体" w:eastAsia="华文楷体" w:cs="华文楷体"/>
          <w:b w:val="0"/>
          <w:bCs w:val="0"/>
          <w:sz w:val="24"/>
          <w:szCs w:val="24"/>
          <w:lang w:val="en-US"/>
        </w:rPr>
        <w:t>格式自拟</w:t>
      </w:r>
      <w:r>
        <w:rPr>
          <w:rStyle w:val="31"/>
          <w:rFonts w:hint="eastAsia" w:ascii="华文楷体" w:hAnsi="华文楷体" w:eastAsia="华文楷体" w:cs="华文楷体"/>
          <w:b w:val="0"/>
          <w:bCs w:val="0"/>
          <w:sz w:val="24"/>
          <w:szCs w:val="24"/>
        </w:rPr>
        <w:t>）</w:t>
      </w:r>
    </w:p>
    <w:p w14:paraId="734578B8">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101C789D">
      <w:pPr>
        <w:jc w:val="center"/>
        <w:rPr>
          <w:rFonts w:hint="eastAsia" w:ascii="华文楷体" w:hAnsi="华文楷体" w:eastAsia="华文楷体" w:cs="华文楷体"/>
          <w:b/>
          <w:color w:val="FF0000"/>
          <w:kern w:val="0"/>
          <w:sz w:val="32"/>
          <w:szCs w:val="32"/>
          <w:lang w:val="en-US" w:eastAsia="zh-CN" w:bidi="ar-SA"/>
        </w:rPr>
      </w:pPr>
      <w:bookmarkStart w:id="70" w:name="_Toc15604"/>
    </w:p>
    <w:p w14:paraId="26C8F908">
      <w:pPr>
        <w:jc w:val="center"/>
        <w:rPr>
          <w:rFonts w:hint="eastAsia" w:ascii="华文楷体" w:hAnsi="华文楷体" w:eastAsia="华文楷体" w:cs="华文楷体"/>
          <w:b/>
          <w:color w:val="FF0000"/>
          <w:kern w:val="0"/>
          <w:sz w:val="32"/>
          <w:szCs w:val="32"/>
          <w:lang w:val="en-US" w:eastAsia="zh-CN" w:bidi="ar-SA"/>
        </w:rPr>
      </w:pPr>
    </w:p>
    <w:p w14:paraId="1184BFA7">
      <w:pPr>
        <w:jc w:val="center"/>
        <w:rPr>
          <w:rFonts w:hint="eastAsia" w:ascii="华文楷体" w:hAnsi="华文楷体" w:eastAsia="华文楷体" w:cs="华文楷体"/>
          <w:b/>
          <w:color w:val="FF0000"/>
          <w:kern w:val="0"/>
          <w:sz w:val="32"/>
          <w:szCs w:val="32"/>
          <w:lang w:val="en-US" w:eastAsia="zh-CN" w:bidi="ar-SA"/>
        </w:rPr>
      </w:pPr>
    </w:p>
    <w:p w14:paraId="33FF0FB3">
      <w:pPr>
        <w:jc w:val="center"/>
        <w:rPr>
          <w:rFonts w:hint="eastAsia" w:ascii="华文楷体" w:hAnsi="华文楷体" w:eastAsia="华文楷体" w:cs="华文楷体"/>
          <w:b/>
          <w:color w:val="FF0000"/>
          <w:kern w:val="0"/>
          <w:sz w:val="32"/>
          <w:szCs w:val="32"/>
          <w:lang w:val="en-US" w:eastAsia="zh-CN" w:bidi="ar-SA"/>
        </w:rPr>
      </w:pPr>
    </w:p>
    <w:p w14:paraId="3F976DE7">
      <w:pPr>
        <w:jc w:val="center"/>
        <w:rPr>
          <w:rFonts w:hint="eastAsia" w:ascii="华文楷体" w:hAnsi="华文楷体" w:eastAsia="华文楷体" w:cs="华文楷体"/>
          <w:b/>
          <w:color w:val="FF0000"/>
          <w:kern w:val="0"/>
          <w:sz w:val="32"/>
          <w:szCs w:val="32"/>
          <w:lang w:val="en-US" w:eastAsia="zh-CN" w:bidi="ar-SA"/>
        </w:rPr>
      </w:pPr>
    </w:p>
    <w:p w14:paraId="207C76AA">
      <w:pPr>
        <w:jc w:val="center"/>
        <w:rPr>
          <w:rFonts w:hint="eastAsia" w:ascii="华文楷体" w:hAnsi="华文楷体" w:eastAsia="华文楷体" w:cs="华文楷体"/>
          <w:b/>
          <w:color w:val="FF0000"/>
          <w:kern w:val="0"/>
          <w:sz w:val="32"/>
          <w:szCs w:val="32"/>
          <w:lang w:val="en-US" w:eastAsia="zh-CN" w:bidi="ar-SA"/>
        </w:rPr>
      </w:pPr>
    </w:p>
    <w:p w14:paraId="5E5109B9">
      <w:pPr>
        <w:jc w:val="center"/>
        <w:rPr>
          <w:rFonts w:hint="eastAsia" w:ascii="华文楷体" w:hAnsi="华文楷体" w:eastAsia="华文楷体" w:cs="华文楷体"/>
          <w:b/>
          <w:color w:val="FF0000"/>
          <w:kern w:val="0"/>
          <w:sz w:val="32"/>
          <w:szCs w:val="32"/>
          <w:lang w:val="en-US" w:eastAsia="zh-CN" w:bidi="ar-SA"/>
        </w:rPr>
      </w:pPr>
    </w:p>
    <w:p w14:paraId="4D822E69">
      <w:pPr>
        <w:jc w:val="center"/>
        <w:rPr>
          <w:rFonts w:hint="eastAsia" w:ascii="华文楷体" w:hAnsi="华文楷体" w:eastAsia="华文楷体" w:cs="华文楷体"/>
          <w:b/>
          <w:color w:val="FF0000"/>
          <w:kern w:val="0"/>
          <w:sz w:val="32"/>
          <w:szCs w:val="32"/>
          <w:lang w:val="en-US" w:eastAsia="zh-CN" w:bidi="ar-SA"/>
        </w:rPr>
      </w:pPr>
    </w:p>
    <w:p w14:paraId="3E8AB672">
      <w:pPr>
        <w:jc w:val="center"/>
        <w:rPr>
          <w:rFonts w:hint="eastAsia" w:ascii="华文楷体" w:hAnsi="华文楷体" w:eastAsia="华文楷体" w:cs="华文楷体"/>
          <w:b/>
          <w:color w:val="FF0000"/>
          <w:kern w:val="0"/>
          <w:sz w:val="32"/>
          <w:szCs w:val="32"/>
          <w:lang w:val="en-US" w:eastAsia="zh-CN" w:bidi="ar-SA"/>
        </w:rPr>
      </w:pPr>
    </w:p>
    <w:p w14:paraId="5801E099">
      <w:pPr>
        <w:jc w:val="center"/>
        <w:rPr>
          <w:rFonts w:hint="eastAsia" w:ascii="华文楷体" w:hAnsi="华文楷体" w:eastAsia="华文楷体" w:cs="华文楷体"/>
          <w:b/>
          <w:color w:val="FF0000"/>
          <w:kern w:val="0"/>
          <w:sz w:val="32"/>
          <w:szCs w:val="32"/>
          <w:lang w:val="en-US" w:eastAsia="zh-CN" w:bidi="ar-SA"/>
        </w:rPr>
      </w:pPr>
    </w:p>
    <w:p w14:paraId="79F6C7B5">
      <w:pPr>
        <w:jc w:val="center"/>
        <w:rPr>
          <w:rFonts w:hint="eastAsia" w:ascii="华文楷体" w:hAnsi="华文楷体" w:eastAsia="华文楷体" w:cs="华文楷体"/>
          <w:b/>
          <w:color w:val="FF0000"/>
          <w:kern w:val="0"/>
          <w:sz w:val="32"/>
          <w:szCs w:val="32"/>
          <w:lang w:val="en-US" w:eastAsia="zh-CN" w:bidi="ar-SA"/>
        </w:rPr>
      </w:pPr>
    </w:p>
    <w:p w14:paraId="66FE34D7">
      <w:pPr>
        <w:jc w:val="center"/>
        <w:rPr>
          <w:rFonts w:hint="eastAsia" w:ascii="华文楷体" w:hAnsi="华文楷体" w:eastAsia="华文楷体" w:cs="华文楷体"/>
          <w:b/>
          <w:color w:val="FF0000"/>
          <w:kern w:val="0"/>
          <w:sz w:val="32"/>
          <w:szCs w:val="32"/>
          <w:lang w:val="en-US" w:eastAsia="zh-CN" w:bidi="ar-SA"/>
        </w:rPr>
      </w:pPr>
    </w:p>
    <w:p w14:paraId="406D8657">
      <w:pPr>
        <w:jc w:val="center"/>
        <w:rPr>
          <w:rFonts w:hint="eastAsia" w:ascii="华文楷体" w:hAnsi="华文楷体" w:eastAsia="华文楷体" w:cs="华文楷体"/>
          <w:b/>
          <w:color w:val="FF0000"/>
          <w:kern w:val="0"/>
          <w:sz w:val="32"/>
          <w:szCs w:val="32"/>
          <w:lang w:val="en-US" w:eastAsia="zh-CN" w:bidi="ar-SA"/>
        </w:rPr>
      </w:pPr>
    </w:p>
    <w:p w14:paraId="582F79F9">
      <w:pPr>
        <w:jc w:val="center"/>
        <w:rPr>
          <w:rFonts w:hint="eastAsia" w:ascii="华文楷体" w:hAnsi="华文楷体" w:eastAsia="华文楷体" w:cs="华文楷体"/>
          <w:b/>
          <w:color w:val="FF0000"/>
          <w:kern w:val="0"/>
          <w:sz w:val="32"/>
          <w:szCs w:val="32"/>
          <w:lang w:val="en-US" w:eastAsia="zh-CN" w:bidi="ar-SA"/>
        </w:rPr>
      </w:pPr>
    </w:p>
    <w:p w14:paraId="19011E99">
      <w:pPr>
        <w:jc w:val="center"/>
        <w:rPr>
          <w:rFonts w:hint="eastAsia" w:ascii="华文楷体" w:hAnsi="华文楷体" w:eastAsia="华文楷体" w:cs="华文楷体"/>
          <w:b/>
          <w:color w:val="FF0000"/>
          <w:kern w:val="0"/>
          <w:sz w:val="32"/>
          <w:szCs w:val="32"/>
          <w:lang w:val="en-US" w:eastAsia="zh-CN" w:bidi="ar-SA"/>
        </w:rPr>
      </w:pPr>
    </w:p>
    <w:p w14:paraId="5DDD0D20">
      <w:pPr>
        <w:jc w:val="center"/>
        <w:rPr>
          <w:rFonts w:hint="eastAsia" w:ascii="华文楷体" w:hAnsi="华文楷体" w:eastAsia="华文楷体" w:cs="华文楷体"/>
          <w:b/>
          <w:color w:val="FF0000"/>
          <w:kern w:val="0"/>
          <w:sz w:val="32"/>
          <w:szCs w:val="32"/>
          <w:lang w:val="en-US" w:eastAsia="zh-CN" w:bidi="ar-SA"/>
        </w:rPr>
      </w:pPr>
    </w:p>
    <w:p w14:paraId="44B6F297">
      <w:pPr>
        <w:jc w:val="center"/>
        <w:rPr>
          <w:rFonts w:hint="eastAsia" w:ascii="华文楷体" w:hAnsi="华文楷体" w:eastAsia="华文楷体" w:cs="华文楷体"/>
          <w:b/>
          <w:color w:val="FF0000"/>
          <w:kern w:val="0"/>
          <w:sz w:val="32"/>
          <w:szCs w:val="32"/>
          <w:lang w:val="en-US" w:eastAsia="zh-CN" w:bidi="ar-SA"/>
        </w:rPr>
      </w:pPr>
    </w:p>
    <w:p w14:paraId="7DDFEDBD">
      <w:pPr>
        <w:jc w:val="center"/>
        <w:rPr>
          <w:rFonts w:hint="eastAsia" w:ascii="华文楷体" w:hAnsi="华文楷体" w:eastAsia="华文楷体" w:cs="华文楷体"/>
          <w:b/>
          <w:color w:val="FF0000"/>
          <w:kern w:val="0"/>
          <w:sz w:val="32"/>
          <w:szCs w:val="32"/>
          <w:lang w:val="en-US" w:eastAsia="zh-CN" w:bidi="ar-SA"/>
        </w:rPr>
      </w:pPr>
    </w:p>
    <w:p w14:paraId="01980448">
      <w:pPr>
        <w:jc w:val="center"/>
        <w:rPr>
          <w:rFonts w:hint="eastAsia" w:ascii="华文楷体" w:hAnsi="华文楷体" w:eastAsia="华文楷体" w:cs="华文楷体"/>
          <w:b/>
          <w:color w:val="FF0000"/>
          <w:kern w:val="0"/>
          <w:sz w:val="32"/>
          <w:szCs w:val="32"/>
          <w:lang w:val="en-US" w:eastAsia="zh-CN" w:bidi="ar-SA"/>
        </w:rPr>
      </w:pPr>
    </w:p>
    <w:p w14:paraId="295AF165">
      <w:pPr>
        <w:jc w:val="center"/>
        <w:rPr>
          <w:rFonts w:hint="eastAsia" w:ascii="华文楷体" w:hAnsi="华文楷体" w:eastAsia="华文楷体" w:cs="华文楷体"/>
          <w:b/>
          <w:color w:val="FF0000"/>
          <w:kern w:val="0"/>
          <w:sz w:val="32"/>
          <w:szCs w:val="32"/>
          <w:lang w:val="en-US" w:eastAsia="zh-CN" w:bidi="ar-SA"/>
        </w:rPr>
      </w:pPr>
    </w:p>
    <w:p w14:paraId="6743FDB0">
      <w:pPr>
        <w:jc w:val="center"/>
        <w:rPr>
          <w:rStyle w:val="31"/>
          <w:rFonts w:hint="eastAsia" w:ascii="华文楷体" w:hAnsi="华文楷体" w:eastAsia="华文楷体" w:cs="华文楷体"/>
          <w:b w:val="0"/>
          <w:bCs w:val="0"/>
          <w:sz w:val="24"/>
          <w:szCs w:val="24"/>
        </w:rPr>
      </w:pPr>
      <w:r>
        <w:rPr>
          <w:rFonts w:hint="eastAsia" w:ascii="华文楷体" w:hAnsi="华文楷体" w:eastAsia="华文楷体" w:cs="华文楷体"/>
          <w:b/>
          <w:color w:val="FF0000"/>
          <w:kern w:val="0"/>
          <w:sz w:val="32"/>
          <w:szCs w:val="32"/>
          <w:lang w:val="en-US" w:eastAsia="zh-CN" w:bidi="ar-SA"/>
        </w:rPr>
        <w:t>十一、项目实施方案</w:t>
      </w:r>
      <w:bookmarkEnd w:id="70"/>
      <w:r>
        <w:rPr>
          <w:rStyle w:val="31"/>
          <w:rFonts w:hint="eastAsia" w:ascii="华文楷体" w:hAnsi="华文楷体" w:eastAsia="华文楷体" w:cs="华文楷体"/>
          <w:b w:val="0"/>
          <w:bCs w:val="0"/>
          <w:sz w:val="24"/>
          <w:szCs w:val="24"/>
        </w:rPr>
        <w:t>（</w:t>
      </w:r>
      <w:r>
        <w:rPr>
          <w:rStyle w:val="31"/>
          <w:rFonts w:hint="eastAsia" w:ascii="华文楷体" w:hAnsi="华文楷体" w:eastAsia="华文楷体" w:cs="华文楷体"/>
          <w:b w:val="0"/>
          <w:bCs w:val="0"/>
          <w:sz w:val="24"/>
          <w:szCs w:val="24"/>
          <w:lang w:val="en-US"/>
        </w:rPr>
        <w:t>格式自拟</w:t>
      </w:r>
      <w:r>
        <w:rPr>
          <w:rStyle w:val="31"/>
          <w:rFonts w:hint="eastAsia" w:ascii="华文楷体" w:hAnsi="华文楷体" w:eastAsia="华文楷体" w:cs="华文楷体"/>
          <w:b w:val="0"/>
          <w:bCs w:val="0"/>
          <w:sz w:val="24"/>
          <w:szCs w:val="24"/>
        </w:rPr>
        <w:t>）</w:t>
      </w:r>
    </w:p>
    <w:p w14:paraId="38D4FB5E">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ind w:firstLine="2563" w:firstLineChars="800"/>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66D7C92E">
      <w:pPr>
        <w:jc w:val="center"/>
        <w:rPr>
          <w:rFonts w:hint="eastAsia" w:ascii="华文楷体" w:hAnsi="华文楷体" w:eastAsia="华文楷体" w:cs="华文楷体"/>
          <w:b/>
          <w:color w:val="FF0000"/>
          <w:kern w:val="0"/>
          <w:sz w:val="32"/>
          <w:szCs w:val="32"/>
          <w:lang w:val="en-US" w:eastAsia="zh-CN" w:bidi="ar-SA"/>
        </w:rPr>
      </w:pPr>
      <w:bookmarkStart w:id="71" w:name="_Toc23564"/>
    </w:p>
    <w:p w14:paraId="49C7C7FE">
      <w:pPr>
        <w:jc w:val="center"/>
        <w:rPr>
          <w:rFonts w:hint="eastAsia" w:ascii="华文楷体" w:hAnsi="华文楷体" w:eastAsia="华文楷体" w:cs="华文楷体"/>
          <w:b/>
          <w:color w:val="FF0000"/>
          <w:kern w:val="0"/>
          <w:sz w:val="32"/>
          <w:szCs w:val="32"/>
          <w:lang w:val="en-US" w:eastAsia="zh-CN" w:bidi="ar-SA"/>
        </w:rPr>
      </w:pPr>
    </w:p>
    <w:p w14:paraId="4266C750">
      <w:pPr>
        <w:jc w:val="center"/>
        <w:rPr>
          <w:rFonts w:hint="eastAsia" w:ascii="华文楷体" w:hAnsi="华文楷体" w:eastAsia="华文楷体" w:cs="华文楷体"/>
          <w:b/>
          <w:color w:val="FF0000"/>
          <w:kern w:val="0"/>
          <w:sz w:val="32"/>
          <w:szCs w:val="32"/>
          <w:lang w:val="en-US" w:eastAsia="zh-CN" w:bidi="ar-SA"/>
        </w:rPr>
      </w:pPr>
    </w:p>
    <w:p w14:paraId="787EE2BE">
      <w:pPr>
        <w:jc w:val="center"/>
        <w:rPr>
          <w:rFonts w:hint="eastAsia" w:ascii="华文楷体" w:hAnsi="华文楷体" w:eastAsia="华文楷体" w:cs="华文楷体"/>
          <w:b/>
          <w:color w:val="FF0000"/>
          <w:kern w:val="0"/>
          <w:sz w:val="32"/>
          <w:szCs w:val="32"/>
          <w:lang w:val="en-US" w:eastAsia="zh-CN" w:bidi="ar-SA"/>
        </w:rPr>
      </w:pPr>
    </w:p>
    <w:p w14:paraId="50BA3664">
      <w:pPr>
        <w:jc w:val="center"/>
        <w:rPr>
          <w:rFonts w:hint="eastAsia" w:ascii="华文楷体" w:hAnsi="华文楷体" w:eastAsia="华文楷体" w:cs="华文楷体"/>
          <w:b/>
          <w:color w:val="FF0000"/>
          <w:kern w:val="0"/>
          <w:sz w:val="32"/>
          <w:szCs w:val="32"/>
          <w:lang w:val="en-US" w:eastAsia="zh-CN" w:bidi="ar-SA"/>
        </w:rPr>
      </w:pPr>
    </w:p>
    <w:p w14:paraId="076BF2FB">
      <w:pPr>
        <w:jc w:val="center"/>
        <w:rPr>
          <w:rFonts w:hint="eastAsia" w:ascii="华文楷体" w:hAnsi="华文楷体" w:eastAsia="华文楷体" w:cs="华文楷体"/>
          <w:b/>
          <w:color w:val="FF0000"/>
          <w:kern w:val="0"/>
          <w:sz w:val="32"/>
          <w:szCs w:val="32"/>
          <w:lang w:val="en-US" w:eastAsia="zh-CN" w:bidi="ar-SA"/>
        </w:rPr>
      </w:pPr>
    </w:p>
    <w:p w14:paraId="0AB8F759">
      <w:pPr>
        <w:jc w:val="center"/>
        <w:rPr>
          <w:rFonts w:hint="eastAsia" w:ascii="华文楷体" w:hAnsi="华文楷体" w:eastAsia="华文楷体" w:cs="华文楷体"/>
          <w:b/>
          <w:color w:val="FF0000"/>
          <w:kern w:val="0"/>
          <w:sz w:val="32"/>
          <w:szCs w:val="32"/>
          <w:lang w:val="en-US" w:eastAsia="zh-CN" w:bidi="ar-SA"/>
        </w:rPr>
      </w:pPr>
    </w:p>
    <w:p w14:paraId="4F91FB5D">
      <w:pPr>
        <w:jc w:val="center"/>
        <w:rPr>
          <w:rFonts w:hint="eastAsia" w:ascii="华文楷体" w:hAnsi="华文楷体" w:eastAsia="华文楷体" w:cs="华文楷体"/>
          <w:b/>
          <w:color w:val="FF0000"/>
          <w:kern w:val="0"/>
          <w:sz w:val="32"/>
          <w:szCs w:val="32"/>
          <w:lang w:val="en-US" w:eastAsia="zh-CN" w:bidi="ar-SA"/>
        </w:rPr>
      </w:pPr>
    </w:p>
    <w:p w14:paraId="704D029A">
      <w:pPr>
        <w:jc w:val="center"/>
        <w:rPr>
          <w:rFonts w:hint="eastAsia" w:ascii="华文楷体" w:hAnsi="华文楷体" w:eastAsia="华文楷体" w:cs="华文楷体"/>
          <w:b/>
          <w:color w:val="FF0000"/>
          <w:kern w:val="0"/>
          <w:sz w:val="32"/>
          <w:szCs w:val="32"/>
          <w:lang w:val="en-US" w:eastAsia="zh-CN" w:bidi="ar-SA"/>
        </w:rPr>
      </w:pPr>
    </w:p>
    <w:p w14:paraId="23EE0F4A">
      <w:pPr>
        <w:jc w:val="center"/>
        <w:rPr>
          <w:rFonts w:hint="eastAsia" w:ascii="华文楷体" w:hAnsi="华文楷体" w:eastAsia="华文楷体" w:cs="华文楷体"/>
          <w:b/>
          <w:color w:val="FF0000"/>
          <w:kern w:val="0"/>
          <w:sz w:val="32"/>
          <w:szCs w:val="32"/>
          <w:lang w:val="en-US" w:eastAsia="zh-CN" w:bidi="ar-SA"/>
        </w:rPr>
      </w:pPr>
    </w:p>
    <w:p w14:paraId="53876B32">
      <w:pPr>
        <w:jc w:val="center"/>
        <w:rPr>
          <w:rFonts w:hint="eastAsia" w:ascii="华文楷体" w:hAnsi="华文楷体" w:eastAsia="华文楷体" w:cs="华文楷体"/>
          <w:b/>
          <w:color w:val="FF0000"/>
          <w:kern w:val="0"/>
          <w:sz w:val="32"/>
          <w:szCs w:val="32"/>
          <w:lang w:val="en-US" w:eastAsia="zh-CN" w:bidi="ar-SA"/>
        </w:rPr>
      </w:pPr>
    </w:p>
    <w:p w14:paraId="2B9361AF">
      <w:pPr>
        <w:jc w:val="center"/>
        <w:rPr>
          <w:rFonts w:hint="eastAsia" w:ascii="华文楷体" w:hAnsi="华文楷体" w:eastAsia="华文楷体" w:cs="华文楷体"/>
          <w:b/>
          <w:color w:val="FF0000"/>
          <w:kern w:val="0"/>
          <w:sz w:val="32"/>
          <w:szCs w:val="32"/>
          <w:lang w:val="en-US" w:eastAsia="zh-CN" w:bidi="ar-SA"/>
        </w:rPr>
      </w:pPr>
    </w:p>
    <w:p w14:paraId="199EEF62">
      <w:pPr>
        <w:jc w:val="center"/>
        <w:rPr>
          <w:rFonts w:hint="eastAsia" w:ascii="华文楷体" w:hAnsi="华文楷体" w:eastAsia="华文楷体" w:cs="华文楷体"/>
          <w:b/>
          <w:color w:val="FF0000"/>
          <w:kern w:val="0"/>
          <w:sz w:val="32"/>
          <w:szCs w:val="32"/>
          <w:lang w:val="en-US" w:eastAsia="zh-CN" w:bidi="ar-SA"/>
        </w:rPr>
      </w:pPr>
    </w:p>
    <w:p w14:paraId="0150989B">
      <w:pPr>
        <w:jc w:val="center"/>
        <w:rPr>
          <w:rFonts w:hint="eastAsia" w:ascii="华文楷体" w:hAnsi="华文楷体" w:eastAsia="华文楷体" w:cs="华文楷体"/>
          <w:b/>
          <w:color w:val="FF0000"/>
          <w:kern w:val="0"/>
          <w:sz w:val="32"/>
          <w:szCs w:val="32"/>
          <w:lang w:val="en-US" w:eastAsia="zh-CN" w:bidi="ar-SA"/>
        </w:rPr>
      </w:pPr>
    </w:p>
    <w:p w14:paraId="3F2FAB95">
      <w:pPr>
        <w:jc w:val="center"/>
        <w:rPr>
          <w:rFonts w:hint="eastAsia" w:ascii="华文楷体" w:hAnsi="华文楷体" w:eastAsia="华文楷体" w:cs="华文楷体"/>
          <w:b/>
          <w:color w:val="FF0000"/>
          <w:kern w:val="0"/>
          <w:sz w:val="32"/>
          <w:szCs w:val="32"/>
          <w:lang w:val="en-US" w:eastAsia="zh-CN" w:bidi="ar-SA"/>
        </w:rPr>
      </w:pPr>
    </w:p>
    <w:p w14:paraId="116A1126">
      <w:pPr>
        <w:jc w:val="center"/>
        <w:rPr>
          <w:rFonts w:hint="eastAsia" w:ascii="华文楷体" w:hAnsi="华文楷体" w:eastAsia="华文楷体" w:cs="华文楷体"/>
          <w:b/>
          <w:color w:val="FF0000"/>
          <w:kern w:val="0"/>
          <w:sz w:val="32"/>
          <w:szCs w:val="32"/>
          <w:lang w:val="en-US" w:eastAsia="zh-CN" w:bidi="ar-SA"/>
        </w:rPr>
      </w:pPr>
    </w:p>
    <w:p w14:paraId="419BCA3C">
      <w:pPr>
        <w:jc w:val="center"/>
        <w:rPr>
          <w:rFonts w:hint="eastAsia" w:ascii="华文楷体" w:hAnsi="华文楷体" w:eastAsia="华文楷体" w:cs="华文楷体"/>
          <w:b/>
          <w:color w:val="FF0000"/>
          <w:kern w:val="0"/>
          <w:sz w:val="32"/>
          <w:szCs w:val="32"/>
          <w:lang w:val="en-US" w:eastAsia="zh-CN" w:bidi="ar-SA"/>
        </w:rPr>
      </w:pPr>
    </w:p>
    <w:p w14:paraId="54FDE363">
      <w:pPr>
        <w:jc w:val="center"/>
        <w:rPr>
          <w:rFonts w:hint="eastAsia" w:ascii="华文楷体" w:hAnsi="华文楷体" w:eastAsia="华文楷体" w:cs="华文楷体"/>
          <w:b/>
          <w:color w:val="FF0000"/>
          <w:kern w:val="0"/>
          <w:sz w:val="32"/>
          <w:szCs w:val="32"/>
          <w:lang w:val="en-US" w:eastAsia="zh-CN" w:bidi="ar-SA"/>
        </w:rPr>
      </w:pPr>
    </w:p>
    <w:p w14:paraId="77E17433">
      <w:pPr>
        <w:jc w:val="center"/>
        <w:rPr>
          <w:rFonts w:hint="eastAsia" w:ascii="华文楷体" w:hAnsi="华文楷体" w:eastAsia="华文楷体" w:cs="华文楷体"/>
          <w:b/>
          <w:color w:val="FF0000"/>
          <w:kern w:val="0"/>
          <w:sz w:val="32"/>
          <w:szCs w:val="32"/>
          <w:lang w:val="en-US" w:eastAsia="zh-CN" w:bidi="ar-SA"/>
        </w:rPr>
      </w:pPr>
    </w:p>
    <w:p w14:paraId="0D0CC755">
      <w:pPr>
        <w:jc w:val="center"/>
        <w:rPr>
          <w:rFonts w:hint="eastAsia" w:ascii="华文楷体" w:hAnsi="华文楷体" w:eastAsia="华文楷体" w:cs="华文楷体"/>
          <w:b/>
          <w:color w:val="FF0000"/>
          <w:kern w:val="0"/>
          <w:sz w:val="32"/>
          <w:szCs w:val="32"/>
          <w:lang w:val="en-US" w:eastAsia="zh-CN" w:bidi="ar-SA"/>
        </w:rPr>
      </w:pPr>
    </w:p>
    <w:p w14:paraId="692BEF23">
      <w:pPr>
        <w:numPr>
          <w:ilvl w:val="0"/>
          <w:numId w:val="2"/>
        </w:numPr>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项目人员配备方案</w:t>
      </w:r>
      <w:bookmarkEnd w:id="71"/>
    </w:p>
    <w:p w14:paraId="17454714">
      <w:pPr>
        <w:numPr>
          <w:ilvl w:val="0"/>
          <w:numId w:val="0"/>
        </w:numPr>
        <w:ind w:firstLine="2160" w:firstLineChars="900"/>
        <w:jc w:val="both"/>
        <w:rPr>
          <w:rStyle w:val="31"/>
          <w:rFonts w:hint="eastAsia" w:ascii="华文楷体" w:hAnsi="华文楷体" w:eastAsia="华文楷体" w:cs="华文楷体"/>
          <w:b w:val="0"/>
          <w:bCs w:val="0"/>
          <w:sz w:val="24"/>
          <w:szCs w:val="24"/>
        </w:rPr>
      </w:pPr>
      <w:r>
        <w:rPr>
          <w:rStyle w:val="31"/>
          <w:rFonts w:hint="eastAsia" w:ascii="华文楷体" w:hAnsi="华文楷体" w:eastAsia="华文楷体" w:cs="华文楷体"/>
          <w:b w:val="0"/>
          <w:bCs w:val="0"/>
          <w:sz w:val="24"/>
          <w:szCs w:val="24"/>
        </w:rPr>
        <w:t>（</w:t>
      </w:r>
      <w:r>
        <w:rPr>
          <w:rStyle w:val="31"/>
          <w:rFonts w:hint="eastAsia" w:ascii="华文楷体" w:hAnsi="华文楷体" w:eastAsia="华文楷体" w:cs="华文楷体"/>
          <w:b w:val="0"/>
          <w:bCs w:val="0"/>
          <w:sz w:val="24"/>
          <w:szCs w:val="24"/>
          <w:lang w:val="en-US"/>
        </w:rPr>
        <w:t>格式自拟，需能证明为办公司在职人员</w:t>
      </w:r>
      <w:r>
        <w:rPr>
          <w:rStyle w:val="31"/>
          <w:rFonts w:hint="eastAsia" w:ascii="华文楷体" w:hAnsi="华文楷体" w:eastAsia="华文楷体" w:cs="华文楷体"/>
          <w:b w:val="0"/>
          <w:bCs w:val="0"/>
          <w:sz w:val="24"/>
          <w:szCs w:val="24"/>
        </w:rPr>
        <w:t>）</w:t>
      </w:r>
    </w:p>
    <w:p w14:paraId="11D011E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6396BE8E">
      <w:pPr>
        <w:pStyle w:val="2"/>
        <w:numPr>
          <w:ilvl w:val="0"/>
          <w:numId w:val="0"/>
        </w:numPr>
        <w:ind w:left="420" w:leftChars="0"/>
        <w:rPr>
          <w:rFonts w:hint="eastAsia"/>
          <w:lang w:val="en-US" w:eastAsia="zh-CN"/>
        </w:rPr>
      </w:pPr>
    </w:p>
    <w:p w14:paraId="572DD6DE">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72" w:name="_Toc32056"/>
      <w:bookmarkStart w:id="73" w:name="_Toc8433"/>
      <w:r>
        <w:rPr>
          <w:rFonts w:hint="eastAsia" w:ascii="华文楷体" w:hAnsi="华文楷体" w:eastAsia="华文楷体" w:cs="华文楷体"/>
          <w:b/>
          <w:color w:val="FF0000"/>
          <w:kern w:val="0"/>
          <w:sz w:val="32"/>
          <w:szCs w:val="32"/>
          <w:lang w:val="en-US" w:eastAsia="zh-CN" w:bidi="ar-SA"/>
        </w:rPr>
        <w:t>十三、近三年类似项目业绩</w:t>
      </w:r>
      <w:bookmarkEnd w:id="72"/>
      <w:bookmarkEnd w:id="73"/>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提供近3年本公司（2021年10月至今）类似项目业绩证明材料（以服务合同为准），服务合同中的业主名称、金额、服务期限等关键信息不得涂盖（有效业绩范围为：消防维保）。</w:t>
      </w:r>
    </w:p>
    <w:p w14:paraId="4B4C830B">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val="0"/>
          <w:bCs w:val="0"/>
          <w:kern w:val="2"/>
          <w:sz w:val="24"/>
          <w:szCs w:val="24"/>
          <w:u w:val="none"/>
          <w:lang w:val="en-US" w:eastAsia="zh-CN" w:bidi="ar-SA"/>
        </w:rPr>
      </w:pPr>
    </w:p>
    <w:p w14:paraId="1C72E391">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8"/>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8"/>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both"/>
        <w:rPr>
          <w:rFonts w:hint="eastAsia" w:ascii="华文楷体" w:hAnsi="华文楷体" w:eastAsia="华文楷体" w:cs="华文楷体"/>
          <w:b w:val="0"/>
          <w:bCs w:val="0"/>
          <w:kern w:val="2"/>
          <w:sz w:val="24"/>
          <w:szCs w:val="24"/>
          <w:u w:val="none"/>
          <w:lang w:val="en-US" w:eastAsia="zh-CN" w:bidi="ar-SA"/>
        </w:rPr>
      </w:pPr>
    </w:p>
    <w:p w14:paraId="7BC9EC76">
      <w:pPr>
        <w:pageBreakBefore w:val="0"/>
        <w:topLinePunct w:val="0"/>
        <w:bidi w:val="0"/>
        <w:snapToGrid/>
        <w:spacing w:line="240" w:lineRule="auto"/>
        <w:jc w:val="both"/>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45893A5F">
      <w:pPr>
        <w:pStyle w:val="8"/>
        <w:pageBreakBefore w:val="0"/>
        <w:numPr>
          <w:ilvl w:val="1"/>
          <w:numId w:val="0"/>
        </w:numPr>
        <w:topLinePunct w:val="0"/>
        <w:bidi w:val="0"/>
        <w:snapToGrid/>
        <w:spacing w:line="240" w:lineRule="auto"/>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bookmarkStart w:id="74" w:name="_Toc14865"/>
      <w:bookmarkStart w:id="75" w:name="_Toc9185"/>
      <w:bookmarkStart w:id="76" w:name="_Toc6862"/>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74"/>
      <w:bookmarkEnd w:id="75"/>
      <w:bookmarkEnd w:id="76"/>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10"/>
        <w:bidi w:val="0"/>
        <w:ind w:firstLine="1602" w:firstLineChars="500"/>
        <w:jc w:val="both"/>
        <w:outlineLvl w:val="0"/>
        <w:rPr>
          <w:rFonts w:hint="default" w:ascii="宋体" w:hAnsi="宋体" w:eastAsia="宋体" w:cs="宋体"/>
          <w:color w:val="auto"/>
          <w:szCs w:val="21"/>
          <w:highlight w:val="none"/>
          <w:lang w:val="en-US" w:eastAsia="zh-CN"/>
        </w:rPr>
      </w:pPr>
      <w:bookmarkStart w:id="77" w:name="_Toc32570"/>
      <w:r>
        <w:rPr>
          <w:rFonts w:hint="eastAsia" w:ascii="华文楷体" w:hAnsi="华文楷体" w:eastAsia="华文楷体" w:cs="华文楷体"/>
          <w:b/>
          <w:color w:val="FF0000"/>
          <w:kern w:val="0"/>
          <w:sz w:val="32"/>
          <w:szCs w:val="32"/>
          <w:lang w:val="en-US" w:eastAsia="zh-CN" w:bidi="ar-SA"/>
        </w:rPr>
        <w:t>十五、</w:t>
      </w:r>
      <w:bookmarkStart w:id="78" w:name="_Toc31202"/>
      <w:bookmarkStart w:id="79" w:name="_Toc29523"/>
      <w:r>
        <w:rPr>
          <w:rFonts w:hint="eastAsia" w:ascii="华文楷体" w:hAnsi="华文楷体" w:eastAsia="华文楷体" w:cs="华文楷体"/>
          <w:b/>
          <w:color w:val="FF0000"/>
          <w:kern w:val="0"/>
          <w:sz w:val="32"/>
          <w:szCs w:val="32"/>
          <w:lang w:val="en-US" w:eastAsia="zh-CN" w:bidi="ar-SA"/>
        </w:rPr>
        <w:t>不参与围标串标承诺书</w:t>
      </w:r>
      <w:bookmarkEnd w:id="77"/>
    </w:p>
    <w:p w14:paraId="4E729603">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安宁市第一人民医院消防系统维保服务项目(2024-2027年)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ANYGT-YNTP-2024N124</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0"/>
        <w:rPr>
          <w:rFonts w:hint="eastAsia" w:ascii="华文楷体" w:hAnsi="华文楷体" w:eastAsia="华文楷体" w:cs="华文楷体"/>
          <w:color w:val="auto"/>
          <w:sz w:val="21"/>
          <w:szCs w:val="21"/>
          <w:highlight w:val="none"/>
        </w:rPr>
      </w:pPr>
      <w:bookmarkStart w:id="80" w:name="_Toc8221"/>
      <w:r>
        <w:rPr>
          <w:rFonts w:hint="eastAsia" w:ascii="华文楷体" w:hAnsi="华文楷体" w:eastAsia="华文楷体" w:cs="华文楷体"/>
          <w:color w:val="auto"/>
          <w:sz w:val="21"/>
          <w:szCs w:val="21"/>
          <w:highlight w:val="none"/>
        </w:rPr>
        <w:t>二、我单位在本项目招标投标活动中，未参与围标串标。</w:t>
      </w:r>
      <w:bookmarkEnd w:id="80"/>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outlineLvl w:val="0"/>
        <w:rPr>
          <w:rFonts w:hint="eastAsia" w:ascii="华文楷体" w:hAnsi="华文楷体" w:eastAsia="华文楷体" w:cs="华文楷体"/>
          <w:color w:val="auto"/>
          <w:sz w:val="21"/>
          <w:szCs w:val="21"/>
          <w:highlight w:val="none"/>
        </w:rPr>
      </w:pPr>
      <w:bookmarkStart w:id="81" w:name="_Toc18034"/>
      <w:r>
        <w:rPr>
          <w:rFonts w:hint="eastAsia" w:ascii="华文楷体" w:hAnsi="华文楷体" w:eastAsia="华文楷体" w:cs="华文楷体"/>
          <w:color w:val="auto"/>
          <w:sz w:val="21"/>
          <w:szCs w:val="21"/>
          <w:highlight w:val="none"/>
          <w:lang w:val="en-US" w:eastAsia="zh-CN"/>
        </w:rPr>
        <w:t>四、处理方式：</w:t>
      </w:r>
      <w:bookmarkEnd w:id="81"/>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9"/>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9"/>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0"/>
        <w:rPr>
          <w:rFonts w:hint="eastAsia" w:ascii="华文楷体" w:hAnsi="华文楷体" w:eastAsia="华文楷体" w:cs="华文楷体"/>
          <w:b/>
          <w:bCs/>
          <w:color w:val="auto"/>
          <w:kern w:val="2"/>
          <w:sz w:val="28"/>
          <w:szCs w:val="28"/>
          <w:highlight w:val="none"/>
          <w:lang w:val="en-US" w:eastAsia="zh-CN" w:bidi="ar-SA"/>
        </w:rPr>
      </w:pPr>
      <w:bookmarkStart w:id="82" w:name="_Toc7722"/>
      <w:r>
        <w:rPr>
          <w:rFonts w:hint="eastAsia" w:ascii="华文楷体" w:hAnsi="华文楷体" w:eastAsia="华文楷体" w:cs="华文楷体"/>
          <w:b/>
          <w:color w:val="FF0000"/>
          <w:kern w:val="0"/>
          <w:sz w:val="32"/>
          <w:szCs w:val="32"/>
          <w:lang w:val="en-US" w:eastAsia="zh-CN" w:bidi="ar-SA"/>
        </w:rPr>
        <w:t>十六、</w:t>
      </w:r>
      <w:bookmarkEnd w:id="78"/>
      <w:r>
        <w:rPr>
          <w:rFonts w:hint="eastAsia" w:ascii="华文楷体" w:hAnsi="华文楷体" w:eastAsia="华文楷体" w:cs="华文楷体"/>
          <w:b/>
          <w:color w:val="FF0000"/>
          <w:kern w:val="0"/>
          <w:sz w:val="32"/>
          <w:szCs w:val="32"/>
          <w:lang w:val="en-US" w:eastAsia="zh-CN" w:bidi="ar-SA"/>
        </w:rPr>
        <w:t>合规及廉洁自律承诺书</w:t>
      </w:r>
      <w:bookmarkEnd w:id="79"/>
      <w:bookmarkEnd w:id="82"/>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outlineLvl w:val="0"/>
        <w:rPr>
          <w:rFonts w:hint="eastAsia" w:ascii="华文楷体" w:hAnsi="华文楷体" w:eastAsia="华文楷体" w:cs="华文楷体"/>
          <w:color w:val="auto"/>
          <w:sz w:val="21"/>
          <w:szCs w:val="21"/>
          <w:highlight w:val="none"/>
        </w:rPr>
      </w:pPr>
      <w:bookmarkStart w:id="83" w:name="_Toc17868"/>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bookmarkEnd w:id="83"/>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0"/>
        <w:rPr>
          <w:rFonts w:hint="eastAsia" w:ascii="华文楷体" w:hAnsi="华文楷体" w:eastAsia="华文楷体" w:cs="华文楷体"/>
          <w:b/>
          <w:bCs/>
          <w:color w:val="auto"/>
          <w:sz w:val="28"/>
          <w:szCs w:val="28"/>
          <w:highlight w:val="none"/>
        </w:rPr>
      </w:pPr>
      <w:bookmarkStart w:id="84" w:name="_Toc6034"/>
      <w:r>
        <w:rPr>
          <w:rFonts w:hint="eastAsia" w:ascii="华文楷体" w:hAnsi="华文楷体" w:eastAsia="华文楷体" w:cs="华文楷体"/>
          <w:color w:val="auto"/>
          <w:szCs w:val="21"/>
          <w:highlight w:val="none"/>
        </w:rPr>
        <w:br w:type="page"/>
      </w:r>
      <w:bookmarkStart w:id="85" w:name="_Toc21940"/>
      <w:r>
        <w:rPr>
          <w:rFonts w:hint="eastAsia" w:ascii="华文楷体" w:hAnsi="华文楷体" w:eastAsia="华文楷体" w:cs="华文楷体"/>
          <w:b/>
          <w:color w:val="FF0000"/>
          <w:kern w:val="0"/>
          <w:sz w:val="32"/>
          <w:szCs w:val="32"/>
          <w:lang w:val="en-US" w:eastAsia="zh-CN" w:bidi="ar-SA"/>
        </w:rPr>
        <w:t>十七、不存在禁止参与投保情形承诺书</w:t>
      </w:r>
      <w:bookmarkEnd w:id="84"/>
      <w:bookmarkEnd w:id="8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安宁市第一人民医院消防系统维保服务项目(2024-2027年)</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8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86"/>
    <w:p w14:paraId="4978E8F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7061C5BF">
      <w:pPr>
        <w:jc w:val="center"/>
        <w:outlineLvl w:val="0"/>
        <w:rPr>
          <w:rFonts w:hint="eastAsia" w:ascii="华文楷体" w:hAnsi="华文楷体" w:eastAsia="华文楷体" w:cs="华文楷体"/>
          <w:b/>
          <w:color w:val="FF0000"/>
          <w:kern w:val="0"/>
          <w:sz w:val="32"/>
          <w:szCs w:val="32"/>
          <w:lang w:val="en-US" w:eastAsia="zh-CN" w:bidi="ar-SA"/>
        </w:rPr>
      </w:pPr>
      <w:bookmarkStart w:id="87" w:name="_Toc6144"/>
      <w:r>
        <w:rPr>
          <w:rFonts w:hint="eastAsia" w:ascii="华文楷体" w:hAnsi="华文楷体" w:eastAsia="华文楷体" w:cs="华文楷体"/>
          <w:b/>
          <w:color w:val="FF0000"/>
          <w:kern w:val="0"/>
          <w:sz w:val="32"/>
          <w:szCs w:val="32"/>
          <w:lang w:val="en-US" w:eastAsia="zh-CN" w:bidi="ar-SA"/>
        </w:rPr>
        <w:t>十八：二次报价承诺书</w:t>
      </w:r>
      <w:bookmarkEnd w:id="87"/>
    </w:p>
    <w:p w14:paraId="108FC778">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405248A1">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color w:val="auto"/>
          <w:kern w:val="2"/>
          <w:sz w:val="24"/>
          <w:szCs w:val="24"/>
          <w:highlight w:val="none"/>
          <w:lang w:val="en-US" w:eastAsia="zh-CN" w:bidi="ar-SA"/>
        </w:rPr>
      </w:pPr>
      <w:bookmarkStart w:id="88" w:name="_Toc26533"/>
      <w:bookmarkStart w:id="89" w:name="_Toc7590"/>
      <w:bookmarkStart w:id="90" w:name="_Toc23910"/>
      <w:bookmarkStart w:id="91" w:name="_Toc19048"/>
      <w:bookmarkStart w:id="92" w:name="_Toc25364"/>
      <w:bookmarkStart w:id="93" w:name="_Toc5152"/>
      <w:r>
        <w:rPr>
          <w:rFonts w:hint="eastAsia" w:ascii="华文楷体" w:hAnsi="华文楷体" w:eastAsia="华文楷体" w:cs="华文楷体"/>
          <w:b w:val="0"/>
          <w:bCs/>
          <w:color w:val="auto"/>
          <w:kern w:val="2"/>
          <w:sz w:val="24"/>
          <w:szCs w:val="24"/>
          <w:highlight w:val="none"/>
          <w:lang w:val="en-US" w:eastAsia="zh-CN" w:bidi="ar-SA"/>
        </w:rPr>
        <w:t>致：</w:t>
      </w:r>
      <w:bookmarkEnd w:id="88"/>
      <w:bookmarkEnd w:id="89"/>
      <w:r>
        <w:rPr>
          <w:rFonts w:hint="eastAsia" w:ascii="华文楷体" w:hAnsi="华文楷体" w:eastAsia="华文楷体" w:cs="华文楷体"/>
          <w:b w:val="0"/>
          <w:bCs/>
          <w:color w:val="auto"/>
          <w:kern w:val="2"/>
          <w:sz w:val="24"/>
          <w:szCs w:val="24"/>
          <w:highlight w:val="none"/>
          <w:lang w:val="en-US" w:eastAsia="zh-CN" w:bidi="ar-SA"/>
        </w:rPr>
        <w:t>安宁市第一人民医院</w:t>
      </w:r>
      <w:bookmarkEnd w:id="90"/>
      <w:bookmarkEnd w:id="91"/>
      <w:bookmarkEnd w:id="92"/>
      <w:bookmarkEnd w:id="93"/>
    </w:p>
    <w:p w14:paraId="7E75FB8C">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华文楷体" w:hAnsi="华文楷体" w:eastAsia="华文楷体" w:cs="华文楷体"/>
          <w:b w:val="0"/>
          <w:bCs/>
          <w:color w:val="auto"/>
          <w:kern w:val="2"/>
          <w:sz w:val="24"/>
          <w:szCs w:val="24"/>
          <w:highlight w:val="none"/>
          <w:lang w:val="en-US" w:eastAsia="zh-CN" w:bidi="ar-SA"/>
        </w:rPr>
      </w:pPr>
      <w:r>
        <w:rPr>
          <w:rFonts w:hint="eastAsia" w:ascii="华文楷体" w:hAnsi="华文楷体" w:eastAsia="华文楷体" w:cs="华文楷体"/>
          <w:b w:val="0"/>
          <w:bCs/>
          <w:color w:val="auto"/>
          <w:kern w:val="2"/>
          <w:sz w:val="24"/>
          <w:szCs w:val="24"/>
          <w:highlight w:val="none"/>
          <w:lang w:val="en-US" w:eastAsia="zh-CN" w:bidi="ar-SA"/>
        </w:rPr>
        <w:t>根据贵方采购需求，我方愿按以下报价作为最终谈判报价，承担相应的服务工作。</w:t>
      </w:r>
    </w:p>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4"/>
          <w:szCs w:val="24"/>
          <w:highlight w:val="none"/>
        </w:rPr>
      </w:pPr>
    </w:p>
    <w:p w14:paraId="33653ED0">
      <w:pPr>
        <w:keepNext w:val="0"/>
        <w:keepLines w:val="0"/>
        <w:pageBreakBefore w:val="0"/>
        <w:widowControl w:val="0"/>
        <w:kinsoku/>
        <w:wordWrap/>
        <w:overflowPunct/>
        <w:topLinePunct w:val="0"/>
        <w:autoSpaceDE/>
        <w:autoSpaceDN/>
        <w:bidi w:val="0"/>
        <w:adjustRightInd/>
        <w:snapToGrid/>
        <w:spacing w:afterAutospacing="0" w:line="400" w:lineRule="exact"/>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 xml:space="preserve">项目名称：  </w:t>
      </w:r>
      <w:r>
        <w:rPr>
          <w:rFonts w:hint="eastAsia" w:ascii="华文楷体" w:hAnsi="华文楷体" w:eastAsia="华文楷体" w:cs="华文楷体"/>
          <w:b w:val="0"/>
          <w:bCs/>
          <w:color w:val="auto"/>
          <w:kern w:val="2"/>
          <w:sz w:val="24"/>
          <w:szCs w:val="24"/>
          <w:highlight w:val="none"/>
          <w:lang w:val="en-US" w:eastAsia="zh-CN" w:bidi="ar-SA"/>
        </w:rPr>
        <w:t>安宁市第一人民医院消防系统维保服务项目(2024-2027年)</w:t>
      </w:r>
      <w:r>
        <w:rPr>
          <w:rFonts w:hint="eastAsia" w:ascii="华文楷体" w:hAnsi="华文楷体" w:eastAsia="华文楷体" w:cs="华文楷体"/>
          <w:b w:val="0"/>
          <w:bCs/>
          <w:sz w:val="24"/>
          <w:szCs w:val="24"/>
        </w:rPr>
        <w:t xml:space="preserve"> </w:t>
      </w:r>
    </w:p>
    <w:p w14:paraId="09CABFC1">
      <w:pPr>
        <w:keepNext w:val="0"/>
        <w:keepLines w:val="0"/>
        <w:pageBreakBefore w:val="0"/>
        <w:widowControl w:val="0"/>
        <w:kinsoku/>
        <w:wordWrap/>
        <w:overflowPunct/>
        <w:topLinePunct w:val="0"/>
        <w:autoSpaceDE/>
        <w:autoSpaceDN/>
        <w:bidi w:val="0"/>
        <w:adjustRightInd/>
        <w:snapToGrid/>
        <w:spacing w:afterAutospacing="0" w:line="400" w:lineRule="exact"/>
        <w:textAlignment w:val="auto"/>
        <w:rPr>
          <w:rFonts w:hint="eastAsia" w:ascii="华文楷体" w:hAnsi="华文楷体" w:eastAsia="华文楷体" w:cs="华文楷体"/>
          <w:b w:val="0"/>
          <w:bCs/>
        </w:rPr>
      </w:pPr>
      <w:r>
        <w:rPr>
          <w:rFonts w:hint="eastAsia" w:ascii="华文楷体" w:hAnsi="华文楷体" w:eastAsia="华文楷体" w:cs="华文楷体"/>
          <w:b w:val="0"/>
          <w:bCs/>
          <w:sz w:val="24"/>
          <w:szCs w:val="24"/>
          <w:lang w:eastAsia="zh-CN"/>
        </w:rPr>
        <w:t>项目编号</w:t>
      </w:r>
      <w:r>
        <w:rPr>
          <w:rFonts w:hint="eastAsia" w:ascii="华文楷体" w:hAnsi="华文楷体" w:eastAsia="华文楷体" w:cs="华文楷体"/>
          <w:b w:val="0"/>
          <w:bCs/>
          <w:sz w:val="24"/>
          <w:szCs w:val="24"/>
        </w:rPr>
        <w:t>：</w:t>
      </w:r>
      <w:r>
        <w:rPr>
          <w:rFonts w:hint="eastAsia" w:ascii="华文楷体" w:hAnsi="华文楷体" w:eastAsia="华文楷体" w:cs="华文楷体"/>
          <w:b w:val="0"/>
          <w:bCs/>
          <w:color w:val="auto"/>
          <w:sz w:val="24"/>
          <w:szCs w:val="24"/>
          <w:highlight w:val="none"/>
          <w:u w:val="none"/>
          <w:lang w:val="en-US" w:eastAsia="zh-CN"/>
        </w:rPr>
        <w:t>ANYGT-YNTP-2024N124</w:t>
      </w:r>
    </w:p>
    <w:tbl>
      <w:tblPr>
        <w:tblStyle w:val="21"/>
        <w:tblW w:w="9300" w:type="dxa"/>
        <w:tblInd w:w="699"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30"/>
        <w:gridCol w:w="1881"/>
        <w:gridCol w:w="6489"/>
      </w:tblGrid>
      <w:tr w14:paraId="4961511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30" w:type="dxa"/>
            <w:tcBorders>
              <w:top w:val="single" w:color="auto" w:sz="2" w:space="0"/>
            </w:tcBorders>
            <w:vAlign w:val="center"/>
          </w:tcPr>
          <w:p w14:paraId="182BB60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1881" w:type="dxa"/>
            <w:tcBorders>
              <w:top w:val="single" w:color="auto" w:sz="2" w:space="0"/>
            </w:tcBorders>
            <w:vAlign w:val="center"/>
          </w:tcPr>
          <w:p w14:paraId="5B19C5FE">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r>
              <w:rPr>
                <w:rFonts w:hint="eastAsia" w:ascii="华文楷体" w:hAnsi="华文楷体" w:eastAsia="华文楷体" w:cs="华文楷体"/>
                <w:b w:val="0"/>
                <w:bCs/>
                <w:sz w:val="24"/>
                <w:lang w:val="en-US" w:eastAsia="zh-CN"/>
              </w:rPr>
              <w:t>(元/年)</w:t>
            </w:r>
          </w:p>
        </w:tc>
        <w:tc>
          <w:tcPr>
            <w:tcW w:w="6489" w:type="dxa"/>
            <w:tcBorders>
              <w:top w:val="single" w:color="auto" w:sz="2" w:space="0"/>
            </w:tcBorders>
            <w:vAlign w:val="center"/>
          </w:tcPr>
          <w:p w14:paraId="463D137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小写：</w:t>
            </w:r>
          </w:p>
          <w:p w14:paraId="11F78D3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大写：</w:t>
            </w:r>
          </w:p>
        </w:tc>
      </w:tr>
      <w:tr w14:paraId="7EED83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30" w:type="dxa"/>
            <w:tcBorders>
              <w:top w:val="single" w:color="auto" w:sz="2" w:space="0"/>
            </w:tcBorders>
            <w:vAlign w:val="center"/>
          </w:tcPr>
          <w:p w14:paraId="73105AEE">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1881" w:type="dxa"/>
            <w:tcBorders>
              <w:top w:val="single" w:color="auto" w:sz="2" w:space="0"/>
            </w:tcBorders>
            <w:vAlign w:val="center"/>
          </w:tcPr>
          <w:p w14:paraId="0D5DB497">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6489" w:type="dxa"/>
            <w:tcBorders>
              <w:top w:val="single" w:color="auto" w:sz="2" w:space="0"/>
            </w:tcBorders>
            <w:vAlign w:val="center"/>
          </w:tcPr>
          <w:p w14:paraId="795F97A7">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60754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30" w:type="dxa"/>
            <w:tcBorders>
              <w:top w:val="single" w:color="auto" w:sz="2" w:space="0"/>
            </w:tcBorders>
            <w:vAlign w:val="center"/>
          </w:tcPr>
          <w:p w14:paraId="1CF8D94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1881" w:type="dxa"/>
            <w:tcBorders>
              <w:top w:val="single" w:color="auto" w:sz="2" w:space="0"/>
            </w:tcBorders>
            <w:vAlign w:val="center"/>
          </w:tcPr>
          <w:p w14:paraId="11E7342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6489" w:type="dxa"/>
            <w:tcBorders>
              <w:top w:val="single" w:color="auto" w:sz="2" w:space="0"/>
            </w:tcBorders>
            <w:vAlign w:val="center"/>
          </w:tcPr>
          <w:p w14:paraId="0F552BC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570F0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30" w:type="dxa"/>
            <w:tcBorders>
              <w:top w:val="single" w:color="000000" w:sz="4" w:space="0"/>
            </w:tcBorders>
            <w:vAlign w:val="center"/>
          </w:tcPr>
          <w:p w14:paraId="2DBAA32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1881" w:type="dxa"/>
            <w:tcBorders>
              <w:top w:val="single" w:color="000000" w:sz="4" w:space="0"/>
            </w:tcBorders>
            <w:vAlign w:val="center"/>
          </w:tcPr>
          <w:p w14:paraId="2165BE10">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6489" w:type="dxa"/>
            <w:tcBorders>
              <w:top w:val="single" w:color="000000" w:sz="4" w:space="0"/>
            </w:tcBorders>
            <w:vAlign w:val="center"/>
          </w:tcPr>
          <w:p w14:paraId="67B0C0F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244DEFFE">
      <w:pPr>
        <w:spacing w:after="100" w:afterAutospacing="1"/>
        <w:rPr>
          <w:rFonts w:hint="eastAsia" w:ascii="华文楷体" w:hAnsi="华文楷体" w:eastAsia="华文楷体" w:cs="华文楷体"/>
          <w:b w:val="0"/>
          <w:bCs/>
          <w:sz w:val="24"/>
        </w:rPr>
      </w:pPr>
    </w:p>
    <w:p w14:paraId="1EEB44BD">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27BE0B0B">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法定代表人或委托代理人(签字)：</w:t>
      </w:r>
    </w:p>
    <w:p w14:paraId="16142510">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日期：  年  月  日</w:t>
      </w:r>
    </w:p>
    <w:p w14:paraId="01F8D887">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8"/>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125C6F43"/>
    <w:multiLevelType w:val="singleLevel"/>
    <w:tmpl w:val="125C6F43"/>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6E531D"/>
    <w:rsid w:val="01F52620"/>
    <w:rsid w:val="02962EDE"/>
    <w:rsid w:val="03503D6C"/>
    <w:rsid w:val="04322EB9"/>
    <w:rsid w:val="04347B65"/>
    <w:rsid w:val="05083B6F"/>
    <w:rsid w:val="053E2A66"/>
    <w:rsid w:val="061D614D"/>
    <w:rsid w:val="06DD2008"/>
    <w:rsid w:val="06F02FBE"/>
    <w:rsid w:val="07FD6DF7"/>
    <w:rsid w:val="09670477"/>
    <w:rsid w:val="09A43E33"/>
    <w:rsid w:val="0AD83203"/>
    <w:rsid w:val="0AF15004"/>
    <w:rsid w:val="0BF75073"/>
    <w:rsid w:val="0C915CF9"/>
    <w:rsid w:val="0D1A7E23"/>
    <w:rsid w:val="0E194378"/>
    <w:rsid w:val="0E543FA7"/>
    <w:rsid w:val="0E6F197A"/>
    <w:rsid w:val="0E8520AF"/>
    <w:rsid w:val="0E8536A2"/>
    <w:rsid w:val="0EF80318"/>
    <w:rsid w:val="0F1E4AAF"/>
    <w:rsid w:val="0F357DEB"/>
    <w:rsid w:val="0FDB07CE"/>
    <w:rsid w:val="1004704F"/>
    <w:rsid w:val="10762BDF"/>
    <w:rsid w:val="10D26947"/>
    <w:rsid w:val="122009AF"/>
    <w:rsid w:val="12704669"/>
    <w:rsid w:val="1290609D"/>
    <w:rsid w:val="129C545E"/>
    <w:rsid w:val="12B44329"/>
    <w:rsid w:val="12F13861"/>
    <w:rsid w:val="143A4F2F"/>
    <w:rsid w:val="144F2FB5"/>
    <w:rsid w:val="1513659E"/>
    <w:rsid w:val="155E1FBF"/>
    <w:rsid w:val="157A58FD"/>
    <w:rsid w:val="157E577E"/>
    <w:rsid w:val="158B3E32"/>
    <w:rsid w:val="17391B01"/>
    <w:rsid w:val="188B28E3"/>
    <w:rsid w:val="1A5225DD"/>
    <w:rsid w:val="1A5861A9"/>
    <w:rsid w:val="1A6A7BF0"/>
    <w:rsid w:val="1AC92B69"/>
    <w:rsid w:val="1B932335"/>
    <w:rsid w:val="1BDD3C44"/>
    <w:rsid w:val="1C292AE4"/>
    <w:rsid w:val="1C3F7586"/>
    <w:rsid w:val="1C5D582C"/>
    <w:rsid w:val="1C9F202D"/>
    <w:rsid w:val="1D8951E2"/>
    <w:rsid w:val="1DE27252"/>
    <w:rsid w:val="1E2C535C"/>
    <w:rsid w:val="1EA44D1C"/>
    <w:rsid w:val="21750BB9"/>
    <w:rsid w:val="21FE134A"/>
    <w:rsid w:val="22210E0A"/>
    <w:rsid w:val="22B1131D"/>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9DF40EF"/>
    <w:rsid w:val="2AA23D90"/>
    <w:rsid w:val="2AC271DA"/>
    <w:rsid w:val="2AEB6BB7"/>
    <w:rsid w:val="2B63629F"/>
    <w:rsid w:val="2BC65440"/>
    <w:rsid w:val="2CB471D5"/>
    <w:rsid w:val="2DCF09F5"/>
    <w:rsid w:val="2E3F51C4"/>
    <w:rsid w:val="2E6C65AC"/>
    <w:rsid w:val="2EFC7E35"/>
    <w:rsid w:val="2F6E0835"/>
    <w:rsid w:val="313A6169"/>
    <w:rsid w:val="31E3055C"/>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3832E4"/>
    <w:rsid w:val="38410DFC"/>
    <w:rsid w:val="38766AAA"/>
    <w:rsid w:val="38F00C52"/>
    <w:rsid w:val="394E5ABB"/>
    <w:rsid w:val="39F8091D"/>
    <w:rsid w:val="3A3A3D05"/>
    <w:rsid w:val="3A4B2127"/>
    <w:rsid w:val="3B077069"/>
    <w:rsid w:val="3B30289A"/>
    <w:rsid w:val="3B7D557D"/>
    <w:rsid w:val="3C2F0E1D"/>
    <w:rsid w:val="3C5F4C83"/>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5E85CE9"/>
    <w:rsid w:val="46D544C0"/>
    <w:rsid w:val="47F47107"/>
    <w:rsid w:val="48EC5ABB"/>
    <w:rsid w:val="49203136"/>
    <w:rsid w:val="49FB2F07"/>
    <w:rsid w:val="4A5A3051"/>
    <w:rsid w:val="4A5E657A"/>
    <w:rsid w:val="4B5F6A4E"/>
    <w:rsid w:val="4C16297D"/>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1744E0"/>
    <w:rsid w:val="6853570F"/>
    <w:rsid w:val="688F22C8"/>
    <w:rsid w:val="68F34846"/>
    <w:rsid w:val="691F21D5"/>
    <w:rsid w:val="69AB1384"/>
    <w:rsid w:val="69AE723D"/>
    <w:rsid w:val="6A0B073A"/>
    <w:rsid w:val="6A333703"/>
    <w:rsid w:val="6A5C0800"/>
    <w:rsid w:val="6AB76205"/>
    <w:rsid w:val="6B480E55"/>
    <w:rsid w:val="6B783ACA"/>
    <w:rsid w:val="6BE321F3"/>
    <w:rsid w:val="6BEB2905"/>
    <w:rsid w:val="6C613F7C"/>
    <w:rsid w:val="6D0A6409"/>
    <w:rsid w:val="6D3520E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7">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8">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9">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10">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autoSpaceDE/>
      <w:autoSpaceDN/>
      <w:adjustRightInd/>
      <w:ind w:left="0" w:leftChars="0" w:firstLine="420"/>
      <w:jc w:val="both"/>
      <w:textAlignment w:val="auto"/>
    </w:pPr>
    <w:rPr>
      <w:kern w:val="2"/>
      <w:sz w:val="21"/>
      <w:szCs w:val="24"/>
    </w:rPr>
  </w:style>
  <w:style w:type="paragraph" w:styleId="3">
    <w:name w:val="Body Text Indent"/>
    <w:basedOn w:val="1"/>
    <w:next w:val="2"/>
    <w:qFormat/>
    <w:uiPriority w:val="0"/>
    <w:pPr>
      <w:spacing w:after="120"/>
      <w:ind w:left="420" w:leftChars="200"/>
    </w:pPr>
  </w:style>
  <w:style w:type="paragraph" w:styleId="4">
    <w:name w:val="Body Text First Indent"/>
    <w:basedOn w:val="5"/>
    <w:next w:val="1"/>
    <w:semiHidden/>
    <w:unhideWhenUsed/>
    <w:qFormat/>
    <w:uiPriority w:val="99"/>
    <w:pPr>
      <w:ind w:firstLine="420" w:firstLineChars="100"/>
    </w:pPr>
  </w:style>
  <w:style w:type="paragraph" w:styleId="5">
    <w:name w:val="Body Text"/>
    <w:basedOn w:val="1"/>
    <w:next w:val="6"/>
    <w:autoRedefine/>
    <w:qFormat/>
    <w:uiPriority w:val="0"/>
    <w:pPr>
      <w:spacing w:after="120"/>
    </w:pPr>
  </w:style>
  <w:style w:type="paragraph" w:styleId="6">
    <w:name w:val="toc 3"/>
    <w:basedOn w:val="1"/>
    <w:next w:val="1"/>
    <w:autoRedefine/>
    <w:qFormat/>
    <w:uiPriority w:val="0"/>
    <w:pPr>
      <w:ind w:left="840" w:leftChars="400"/>
    </w:pPr>
  </w:style>
  <w:style w:type="paragraph" w:styleId="11">
    <w:name w:val="table of authorities"/>
    <w:basedOn w:val="1"/>
    <w:next w:val="1"/>
    <w:qFormat/>
    <w:uiPriority w:val="0"/>
    <w:pPr>
      <w:ind w:left="420" w:leftChars="200"/>
    </w:pPr>
  </w:style>
  <w:style w:type="paragraph" w:styleId="12">
    <w:name w:val="Document Map"/>
    <w:basedOn w:val="1"/>
    <w:autoRedefine/>
    <w:unhideWhenUsed/>
    <w:qFormat/>
    <w:uiPriority w:val="99"/>
    <w:rPr>
      <w:rFonts w:ascii="宋体" w:eastAsia="宋体"/>
      <w:sz w:val="18"/>
      <w:szCs w:val="18"/>
    </w:rPr>
  </w:style>
  <w:style w:type="paragraph" w:styleId="13">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14">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style>
  <w:style w:type="paragraph" w:styleId="18">
    <w:name w:val="toc 2"/>
    <w:basedOn w:val="1"/>
    <w:next w:val="1"/>
    <w:autoRedefine/>
    <w:qFormat/>
    <w:uiPriority w:val="0"/>
    <w:pPr>
      <w:ind w:left="420" w:leftChars="200"/>
    </w:pPr>
  </w:style>
  <w:style w:type="paragraph" w:styleId="19">
    <w:name w:val="Body Text 2"/>
    <w:basedOn w:val="1"/>
    <w:autoRedefine/>
    <w:qFormat/>
    <w:uiPriority w:val="0"/>
    <w:rPr>
      <w:rFonts w:ascii="宋体"/>
      <w:sz w:val="13"/>
      <w:szCs w:val="20"/>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2">
    <w:name w:val="Table Grid"/>
    <w:basedOn w:val="21"/>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0"/>
  </w:style>
  <w:style w:type="paragraph" w:customStyle="1" w:styleId="25">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6">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7">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8">
    <w:name w:val="style4"/>
    <w:basedOn w:val="1"/>
    <w:next w:val="29"/>
    <w:autoRedefine/>
    <w:qFormat/>
    <w:uiPriority w:val="0"/>
    <w:pPr>
      <w:widowControl/>
      <w:spacing w:before="280" w:after="280"/>
    </w:pPr>
    <w:rPr>
      <w:rFonts w:ascii="宋体" w:eastAsia="宋体"/>
      <w:sz w:val="18"/>
    </w:rPr>
  </w:style>
  <w:style w:type="paragraph" w:customStyle="1" w:styleId="29">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30">
    <w:name w:val="Normal_1"/>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1">
    <w:name w:val="标题 3 Char"/>
    <w:qFormat/>
    <w:uiPriority w:val="9"/>
    <w:rPr>
      <w:rFonts w:eastAsia="宋体"/>
      <w:b/>
      <w:bCs/>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5610</Words>
  <Characters>5847</Characters>
  <Lines>0</Lines>
  <Paragraphs>0</Paragraphs>
  <TotalTime>0</TotalTime>
  <ScaleCrop>false</ScaleCrop>
  <LinksUpToDate>false</LinksUpToDate>
  <CharactersWithSpaces>7071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2024-10-22T02:47:32Z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FD4CC743FB6F4915B7160933D35F830B</vt:lpwstr>
  </property>
</Properties>
</file>