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176"/>
        </w:tabs>
        <w:snapToGrid w:val="0"/>
        <w:spacing w:line="360" w:lineRule="auto"/>
        <w:rPr>
          <w:rFonts w:hint="eastAsia" w:ascii="华文楷体" w:hAnsi="华文楷体" w:eastAsia="华文楷体" w:cs="华文楷体"/>
          <w:b/>
          <w:bCs/>
          <w:color w:val="auto"/>
          <w:sz w:val="28"/>
          <w:szCs w:val="28"/>
          <w:highlight w:val="none"/>
          <w:lang w:val="en-US" w:eastAsia="zh-CN"/>
        </w:rPr>
      </w:pPr>
      <w:r>
        <w:rPr>
          <w:rFonts w:hint="eastAsia" w:ascii="华文楷体" w:hAnsi="华文楷体" w:eastAsia="华文楷体" w:cs="华文楷体"/>
          <w:b/>
          <w:bCs/>
          <w:color w:val="auto"/>
          <w:sz w:val="28"/>
          <w:szCs w:val="28"/>
          <w:highlight w:val="none"/>
          <w:lang w:val="en-US" w:eastAsia="zh-CN"/>
        </w:rPr>
        <w:t>附件4：安宁市第一人民医院床旁心肌酶谱检测仪及配套耗材供应商遴选项目评分标准</w:t>
      </w:r>
    </w:p>
    <w:p>
      <w:pPr>
        <w:tabs>
          <w:tab w:val="left" w:pos="4176"/>
        </w:tabs>
        <w:snapToGrid w:val="0"/>
        <w:spacing w:line="360" w:lineRule="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highlight w:val="none"/>
          <w:lang w:eastAsia="zh-CN"/>
          <w14:textFill>
            <w14:solidFill>
              <w14:schemeClr w14:val="tx1"/>
            </w14:solidFill>
          </w14:textFill>
        </w:rPr>
        <w:t>一、</w:t>
      </w:r>
      <w:r>
        <w:rPr>
          <w:rFonts w:hint="eastAsia" w:ascii="仿宋" w:hAnsi="仿宋" w:eastAsia="仿宋" w:cs="仿宋"/>
          <w:b/>
          <w:color w:val="000000" w:themeColor="text1"/>
          <w:sz w:val="24"/>
          <w:highlight w:val="none"/>
          <w14:textFill>
            <w14:solidFill>
              <w14:schemeClr w14:val="tx1"/>
            </w14:solidFill>
          </w14:textFill>
        </w:rPr>
        <w:t>价格部分评分办法（满分</w:t>
      </w:r>
      <w:r>
        <w:rPr>
          <w:rFonts w:hint="eastAsia" w:ascii="仿宋" w:hAnsi="仿宋" w:eastAsia="仿宋" w:cs="仿宋"/>
          <w:b/>
          <w:color w:val="000000" w:themeColor="text1"/>
          <w:sz w:val="24"/>
          <w:highlight w:val="none"/>
          <w:lang w:val="en-US" w:eastAsia="zh-CN"/>
          <w14:textFill>
            <w14:solidFill>
              <w14:schemeClr w14:val="tx1"/>
            </w14:solidFill>
          </w14:textFill>
        </w:rPr>
        <w:t>30</w:t>
      </w:r>
      <w:r>
        <w:rPr>
          <w:rFonts w:hint="eastAsia" w:ascii="仿宋" w:hAnsi="仿宋" w:eastAsia="仿宋" w:cs="仿宋"/>
          <w:b/>
          <w:color w:val="000000" w:themeColor="text1"/>
          <w:sz w:val="24"/>
          <w:highlight w:val="none"/>
          <w14:textFill>
            <w14:solidFill>
              <w14:schemeClr w14:val="tx1"/>
            </w14:solidFill>
          </w14:textFill>
        </w:rPr>
        <w:t>分）</w:t>
      </w:r>
      <w:r>
        <w:rPr>
          <w:rFonts w:hint="eastAsia" w:ascii="仿宋" w:hAnsi="仿宋" w:eastAsia="仿宋" w:cs="仿宋"/>
          <w:b/>
          <w:color w:val="000000" w:themeColor="text1"/>
          <w:sz w:val="24"/>
          <w:highlight w:val="none"/>
          <w14:textFill>
            <w14:solidFill>
              <w14:schemeClr w14:val="tx1"/>
            </w14:solidFill>
          </w14:textFill>
        </w:rPr>
        <w:tab/>
      </w:r>
    </w:p>
    <w:p>
      <w:pPr>
        <w:snapToGrid w:val="0"/>
        <w:spacing w:line="360" w:lineRule="auto"/>
        <w:ind w:firstLine="480" w:firstLineChars="200"/>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1、床旁心肌酶谱检测仪报价（10分），</w:t>
      </w:r>
      <w:r>
        <w:rPr>
          <w:rFonts w:hint="eastAsia" w:ascii="仿宋" w:hAnsi="仿宋" w:eastAsia="仿宋" w:cs="仿宋"/>
          <w:color w:val="000000" w:themeColor="text1"/>
          <w:sz w:val="24"/>
          <w:highlight w:val="none"/>
          <w14:textFill>
            <w14:solidFill>
              <w14:schemeClr w14:val="tx1"/>
            </w14:solidFill>
          </w14:textFill>
        </w:rPr>
        <w:t>采用低价优先法计算，即通过本项目符合性审查且投标价格最低的</w:t>
      </w:r>
      <w:r>
        <w:rPr>
          <w:rFonts w:hint="eastAsia" w:ascii="仿宋" w:hAnsi="仿宋" w:eastAsia="仿宋" w:cs="仿宋"/>
          <w:color w:val="000000" w:themeColor="text1"/>
          <w:sz w:val="24"/>
          <w:highlight w:val="none"/>
          <w:lang w:eastAsia="zh-CN"/>
          <w14:textFill>
            <w14:solidFill>
              <w14:schemeClr w14:val="tx1"/>
            </w14:solidFill>
          </w14:textFill>
        </w:rPr>
        <w:t>谈判报价</w:t>
      </w:r>
      <w:r>
        <w:rPr>
          <w:rFonts w:hint="eastAsia" w:ascii="仿宋" w:hAnsi="仿宋" w:eastAsia="仿宋" w:cs="仿宋"/>
          <w:color w:val="000000" w:themeColor="text1"/>
          <w:sz w:val="24"/>
          <w:highlight w:val="none"/>
          <w14:textFill>
            <w14:solidFill>
              <w14:schemeClr w14:val="tx1"/>
            </w14:solidFill>
          </w14:textFill>
        </w:rPr>
        <w:t>为评标基准价，其价格分为满分即</w:t>
      </w:r>
      <w:r>
        <w:rPr>
          <w:rFonts w:hint="eastAsia" w:ascii="仿宋" w:hAnsi="仿宋" w:eastAsia="仿宋" w:cs="仿宋"/>
          <w:color w:val="000000" w:themeColor="text1"/>
          <w:sz w:val="24"/>
          <w:highlight w:val="none"/>
          <w:lang w:val="en-US" w:eastAsia="zh-CN"/>
          <w14:textFill>
            <w14:solidFill>
              <w14:schemeClr w14:val="tx1"/>
            </w14:solidFill>
          </w14:textFill>
        </w:rPr>
        <w:t>10</w:t>
      </w:r>
      <w:r>
        <w:rPr>
          <w:rFonts w:hint="eastAsia" w:ascii="仿宋" w:hAnsi="仿宋" w:eastAsia="仿宋" w:cs="仿宋"/>
          <w:color w:val="000000" w:themeColor="text1"/>
          <w:sz w:val="24"/>
          <w:highlight w:val="none"/>
          <w14:textFill>
            <w14:solidFill>
              <w14:schemeClr w14:val="tx1"/>
            </w14:solidFill>
          </w14:textFill>
        </w:rPr>
        <w:t>分。其他</w:t>
      </w:r>
      <w:r>
        <w:rPr>
          <w:rFonts w:hint="eastAsia" w:ascii="仿宋" w:hAnsi="仿宋" w:eastAsia="仿宋" w:cs="仿宋"/>
          <w:color w:val="000000" w:themeColor="text1"/>
          <w:sz w:val="24"/>
          <w:highlight w:val="none"/>
          <w:lang w:eastAsia="zh-CN"/>
          <w14:textFill>
            <w14:solidFill>
              <w14:schemeClr w14:val="tx1"/>
            </w14:solidFill>
          </w14:textFill>
        </w:rPr>
        <w:t>谈判</w:t>
      </w:r>
      <w:r>
        <w:rPr>
          <w:rFonts w:hint="eastAsia" w:ascii="仿宋" w:hAnsi="仿宋" w:eastAsia="仿宋" w:cs="仿宋"/>
          <w:color w:val="000000" w:themeColor="text1"/>
          <w:sz w:val="24"/>
          <w:highlight w:val="none"/>
          <w:lang w:val="en-US" w:eastAsia="zh-CN"/>
          <w14:textFill>
            <w14:solidFill>
              <w14:schemeClr w14:val="tx1"/>
            </w14:solidFill>
          </w14:textFill>
        </w:rPr>
        <w:t>申请人的价格分统一按照下列公式计算：</w:t>
      </w:r>
    </w:p>
    <w:p>
      <w:pPr>
        <w:snapToGrid w:val="0"/>
        <w:spacing w:line="360" w:lineRule="auto"/>
        <w:ind w:firstLine="480" w:firstLineChars="200"/>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谈判报价得分=（评标基准价／最终谈判报价)×10；</w:t>
      </w:r>
    </w:p>
    <w:p>
      <w:pPr>
        <w:snapToGrid w:val="0"/>
        <w:spacing w:line="360" w:lineRule="auto"/>
        <w:ind w:firstLine="480" w:firstLineChars="200"/>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床旁心肌酶谱检测仪配套耗材报价（20分），采用低价优先法计算，即通过本项目符合性审查且投标价格最低的谈判报价为评标基准价（如不同供应商规格不一，采用最小测包装折算成每人份价格进行计算），其价格分为满分即20分。其他谈判申请人的价格分统一按照下列公式计算：</w:t>
      </w:r>
    </w:p>
    <w:p>
      <w:pPr>
        <w:snapToGrid w:val="0"/>
        <w:spacing w:line="360" w:lineRule="auto"/>
        <w:ind w:firstLine="480" w:firstLineChars="200"/>
        <w:rPr>
          <w:rFonts w:hint="eastAsia"/>
        </w:rPr>
      </w:pPr>
      <w:r>
        <w:rPr>
          <w:rFonts w:hint="eastAsia" w:ascii="仿宋" w:hAnsi="仿宋" w:eastAsia="仿宋" w:cs="仿宋"/>
          <w:color w:val="000000" w:themeColor="text1"/>
          <w:sz w:val="24"/>
          <w:highlight w:val="none"/>
          <w:lang w:val="en-US" w:eastAsia="zh-CN"/>
          <w14:textFill>
            <w14:solidFill>
              <w14:schemeClr w14:val="tx1"/>
            </w14:solidFill>
          </w14:textFill>
        </w:rPr>
        <w:t>谈判报价得分=（评标基准价／最终谈判报价)×20；</w:t>
      </w:r>
    </w:p>
    <w:p>
      <w:pPr>
        <w:snapToGrid w:val="0"/>
        <w:spacing w:line="360" w:lineRule="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eastAsia="zh-CN"/>
          <w14:textFill>
            <w14:solidFill>
              <w14:schemeClr w14:val="tx1"/>
            </w14:solidFill>
          </w14:textFill>
        </w:rPr>
        <w:t>二、</w:t>
      </w:r>
      <w:r>
        <w:rPr>
          <w:rFonts w:hint="eastAsia" w:ascii="仿宋" w:hAnsi="仿宋" w:eastAsia="仿宋" w:cs="仿宋"/>
          <w:b/>
          <w:color w:val="000000" w:themeColor="text1"/>
          <w:sz w:val="24"/>
          <w:highlight w:val="none"/>
          <w14:textFill>
            <w14:solidFill>
              <w14:schemeClr w14:val="tx1"/>
            </w14:solidFill>
          </w14:textFill>
        </w:rPr>
        <w:t>技术部分评分办法（满分</w:t>
      </w:r>
      <w:r>
        <w:rPr>
          <w:rFonts w:hint="eastAsia" w:ascii="仿宋" w:hAnsi="仿宋" w:eastAsia="仿宋" w:cs="仿宋"/>
          <w:b/>
          <w:color w:val="000000" w:themeColor="text1"/>
          <w:sz w:val="24"/>
          <w:highlight w:val="none"/>
          <w:lang w:val="en-US" w:eastAsia="zh-CN"/>
          <w14:textFill>
            <w14:solidFill>
              <w14:schemeClr w14:val="tx1"/>
            </w14:solidFill>
          </w14:textFill>
        </w:rPr>
        <w:t>50</w:t>
      </w:r>
      <w:r>
        <w:rPr>
          <w:rFonts w:hint="eastAsia" w:ascii="仿宋" w:hAnsi="仿宋" w:eastAsia="仿宋" w:cs="仿宋"/>
          <w:b/>
          <w:color w:val="000000" w:themeColor="text1"/>
          <w:sz w:val="24"/>
          <w:highlight w:val="none"/>
          <w14:textFill>
            <w14:solidFill>
              <w14:schemeClr w14:val="tx1"/>
            </w14:solidFill>
          </w14:textFill>
        </w:rPr>
        <w:t>分）</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1417"/>
        <w:gridCol w:w="7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条款号</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评分项目</w:t>
            </w:r>
          </w:p>
        </w:tc>
        <w:tc>
          <w:tcPr>
            <w:tcW w:w="7372"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1</w:t>
            </w:r>
          </w:p>
        </w:tc>
        <w:tc>
          <w:tcPr>
            <w:tcW w:w="1417" w:type="dxa"/>
            <w:tcBorders>
              <w:top w:val="single" w:color="auto" w:sz="4" w:space="0"/>
              <w:left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技术参数评审</w:t>
            </w:r>
            <w:r>
              <w:rPr>
                <w:rFonts w:hint="eastAsia" w:ascii="仿宋" w:hAnsi="仿宋" w:eastAsia="仿宋" w:cs="仿宋"/>
                <w:b w:val="0"/>
                <w:bCs w:val="0"/>
                <w:color w:val="000000" w:themeColor="text1"/>
                <w:sz w:val="24"/>
                <w:szCs w:val="24"/>
                <w:highlight w:val="none"/>
                <w14:textFill>
                  <w14:solidFill>
                    <w14:schemeClr w14:val="tx1"/>
                  </w14:solidFill>
                </w14:textFill>
              </w:rPr>
              <w:t>（</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50</w:t>
            </w:r>
            <w:r>
              <w:rPr>
                <w:rFonts w:hint="eastAsia" w:ascii="仿宋" w:hAnsi="仿宋" w:eastAsia="仿宋" w:cs="仿宋"/>
                <w:b w:val="0"/>
                <w:bCs w:val="0"/>
                <w:color w:val="000000" w:themeColor="text1"/>
                <w:sz w:val="24"/>
                <w:szCs w:val="24"/>
                <w:highlight w:val="none"/>
                <w14:textFill>
                  <w14:solidFill>
                    <w14:schemeClr w14:val="tx1"/>
                  </w14:solidFill>
                </w14:textFill>
              </w:rPr>
              <w:t>分）</w:t>
            </w:r>
          </w:p>
        </w:tc>
        <w:tc>
          <w:tcPr>
            <w:tcW w:w="7372" w:type="dxa"/>
            <w:tcBorders>
              <w:top w:val="single" w:color="auto" w:sz="4" w:space="0"/>
              <w:left w:val="single" w:color="auto" w:sz="4" w:space="0"/>
              <w:right w:val="single" w:color="auto" w:sz="4" w:space="0"/>
            </w:tcBorders>
            <w:noWrap w:val="0"/>
            <w:vAlign w:val="center"/>
          </w:tcPr>
          <w:p>
            <w:pPr>
              <w:spacing w:line="360" w:lineRule="auto"/>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（1）所投设备主要技术参数、重要性能指标以及主要部件的结构、选材完全满足</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采购需求</w:t>
            </w:r>
            <w:r>
              <w:rPr>
                <w:rFonts w:hint="eastAsia" w:ascii="仿宋" w:hAnsi="仿宋" w:eastAsia="仿宋" w:cs="仿宋"/>
                <w:b w:val="0"/>
                <w:bCs w:val="0"/>
                <w:color w:val="000000" w:themeColor="text1"/>
                <w:sz w:val="24"/>
                <w:szCs w:val="24"/>
                <w:highlight w:val="none"/>
                <w14:textFill>
                  <w14:solidFill>
                    <w14:schemeClr w14:val="tx1"/>
                  </w14:solidFill>
                </w14:textFill>
              </w:rPr>
              <w:t>的，得基准</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50</w:t>
            </w:r>
            <w:r>
              <w:rPr>
                <w:rFonts w:hint="eastAsia" w:ascii="仿宋" w:hAnsi="仿宋" w:eastAsia="仿宋" w:cs="仿宋"/>
                <w:b w:val="0"/>
                <w:bCs w:val="0"/>
                <w:color w:val="000000" w:themeColor="text1"/>
                <w:sz w:val="24"/>
                <w:szCs w:val="24"/>
                <w:highlight w:val="none"/>
                <w14:textFill>
                  <w14:solidFill>
                    <w14:schemeClr w14:val="tx1"/>
                  </w14:solidFill>
                </w14:textFill>
              </w:rPr>
              <w:t>分；</w:t>
            </w:r>
          </w:p>
          <w:p>
            <w:pPr>
              <w:spacing w:line="360" w:lineRule="auto"/>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（2）所投产品技术参数有负偏离或漏项的每项扣</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5</w:t>
            </w:r>
            <w:r>
              <w:rPr>
                <w:rFonts w:hint="eastAsia" w:ascii="仿宋" w:hAnsi="仿宋" w:eastAsia="仿宋" w:cs="仿宋"/>
                <w:b w:val="0"/>
                <w:bCs w:val="0"/>
                <w:color w:val="000000" w:themeColor="text1"/>
                <w:sz w:val="24"/>
                <w:szCs w:val="24"/>
                <w:highlight w:val="none"/>
                <w14:textFill>
                  <w14:solidFill>
                    <w14:schemeClr w14:val="tx1"/>
                  </w14:solidFill>
                </w14:textFill>
              </w:rPr>
              <w:t>分，扣完为止。</w:t>
            </w:r>
          </w:p>
          <w:p>
            <w:pPr>
              <w:spacing w:line="360" w:lineRule="auto"/>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3</w:t>
            </w:r>
            <w:r>
              <w:rPr>
                <w:rFonts w:hint="eastAsia" w:ascii="仿宋" w:hAnsi="仿宋" w:eastAsia="仿宋" w:cs="仿宋"/>
                <w:b w:val="0"/>
                <w:bCs w:val="0"/>
                <w:color w:val="000000" w:themeColor="text1"/>
                <w:sz w:val="24"/>
                <w:szCs w:val="24"/>
                <w:highlight w:val="none"/>
                <w14:textFill>
                  <w14:solidFill>
                    <w14:schemeClr w14:val="tx1"/>
                  </w14:solidFill>
                </w14:textFill>
              </w:rPr>
              <w:t>）技术参数内要求提供的制造厂商提供的技术参数资料（包括检验报告、认证证书等）或彩页等资料与“技术规格偏离表”内的参数指标不相符（技术指标性参数一致，描述性参数可不一致），又未加以说明的每项扣</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5</w:t>
            </w:r>
            <w:r>
              <w:rPr>
                <w:rFonts w:hint="eastAsia" w:ascii="仿宋" w:hAnsi="仿宋" w:eastAsia="仿宋" w:cs="仿宋"/>
                <w:b w:val="0"/>
                <w:bCs w:val="0"/>
                <w:color w:val="000000" w:themeColor="text1"/>
                <w:sz w:val="24"/>
                <w:szCs w:val="24"/>
                <w:highlight w:val="none"/>
                <w14:textFill>
                  <w14:solidFill>
                    <w14:schemeClr w14:val="tx1"/>
                  </w14:solidFill>
                </w14:textFill>
              </w:rPr>
              <w:t>分。</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 xml:space="preserve"> </w:t>
            </w:r>
          </w:p>
          <w:p>
            <w:pPr>
              <w:spacing w:line="360" w:lineRule="auto"/>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4</w:t>
            </w:r>
            <w:r>
              <w:rPr>
                <w:rFonts w:hint="eastAsia" w:ascii="仿宋" w:hAnsi="仿宋" w:eastAsia="仿宋" w:cs="仿宋"/>
                <w:b w:val="0"/>
                <w:bCs w:val="0"/>
                <w:color w:val="000000" w:themeColor="text1"/>
                <w:sz w:val="24"/>
                <w:szCs w:val="24"/>
                <w:highlight w:val="none"/>
                <w14:textFill>
                  <w14:solidFill>
                    <w14:schemeClr w14:val="tx1"/>
                  </w14:solidFill>
                </w14:textFill>
              </w:rPr>
              <w:t>）若有重大偏差由</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谈判小组</w:t>
            </w:r>
            <w:r>
              <w:rPr>
                <w:rFonts w:hint="eastAsia" w:ascii="仿宋" w:hAnsi="仿宋" w:eastAsia="仿宋" w:cs="仿宋"/>
                <w:b w:val="0"/>
                <w:bCs w:val="0"/>
                <w:color w:val="000000" w:themeColor="text1"/>
                <w:sz w:val="24"/>
                <w:szCs w:val="24"/>
                <w:highlight w:val="none"/>
                <w14:textFill>
                  <w14:solidFill>
                    <w14:schemeClr w14:val="tx1"/>
                  </w14:solidFill>
                </w14:textFill>
              </w:rPr>
              <w:t>决定是否接受其投标。</w:t>
            </w:r>
          </w:p>
        </w:tc>
      </w:tr>
    </w:tbl>
    <w:p>
      <w:pPr>
        <w:spacing w:line="360" w:lineRule="auto"/>
        <w:rPr>
          <w:rFonts w:hint="eastAsia" w:ascii="仿宋" w:hAnsi="仿宋" w:eastAsia="仿宋" w:cs="仿宋"/>
          <w:b w:val="0"/>
          <w:bCs w:val="0"/>
          <w:color w:val="000000" w:themeColor="text1"/>
          <w:kern w:val="2"/>
          <w:sz w:val="24"/>
          <w:highlight w:val="none"/>
          <w14:textFill>
            <w14:solidFill>
              <w14:schemeClr w14:val="tx1"/>
            </w14:solidFill>
          </w14:textFill>
        </w:rPr>
      </w:pPr>
      <w:r>
        <w:rPr>
          <w:rFonts w:hint="eastAsia" w:ascii="仿宋" w:hAnsi="仿宋" w:eastAsia="仿宋" w:cs="仿宋"/>
          <w:b/>
          <w:bCs/>
          <w:color w:val="000000" w:themeColor="text1"/>
          <w:sz w:val="24"/>
          <w:highlight w:val="none"/>
          <w:lang w:eastAsia="zh-CN"/>
          <w14:textFill>
            <w14:solidFill>
              <w14:schemeClr w14:val="tx1"/>
            </w14:solidFill>
          </w14:textFill>
        </w:rPr>
        <w:t>三、</w:t>
      </w:r>
      <w:r>
        <w:rPr>
          <w:rFonts w:hint="eastAsia" w:ascii="仿宋" w:hAnsi="仿宋" w:eastAsia="仿宋" w:cs="仿宋"/>
          <w:b/>
          <w:bCs/>
          <w:color w:val="000000" w:themeColor="text1"/>
          <w:sz w:val="24"/>
          <w:highlight w:val="none"/>
          <w14:textFill>
            <w14:solidFill>
              <w14:schemeClr w14:val="tx1"/>
            </w14:solidFill>
          </w14:textFill>
        </w:rPr>
        <w:t>商务部分：（满分</w:t>
      </w:r>
      <w:r>
        <w:rPr>
          <w:rFonts w:hint="eastAsia" w:ascii="仿宋" w:hAnsi="仿宋" w:eastAsia="仿宋" w:cs="仿宋"/>
          <w:b/>
          <w:bCs/>
          <w:color w:val="000000" w:themeColor="text1"/>
          <w:sz w:val="24"/>
          <w:highlight w:val="none"/>
          <w:lang w:val="en-US" w:eastAsia="zh-CN"/>
          <w14:textFill>
            <w14:solidFill>
              <w14:schemeClr w14:val="tx1"/>
            </w14:solidFill>
          </w14:textFill>
        </w:rPr>
        <w:t>20</w:t>
      </w:r>
      <w:r>
        <w:rPr>
          <w:rFonts w:hint="eastAsia" w:ascii="仿宋" w:hAnsi="仿宋" w:eastAsia="仿宋" w:cs="仿宋"/>
          <w:b/>
          <w:bCs/>
          <w:color w:val="000000" w:themeColor="text1"/>
          <w:sz w:val="24"/>
          <w:highlight w:val="none"/>
          <w14:textFill>
            <w14:solidFill>
              <w14:schemeClr w14:val="tx1"/>
            </w14:solidFill>
          </w14:textFill>
        </w:rPr>
        <w:t>分）</w:t>
      </w:r>
    </w:p>
    <w:tbl>
      <w:tblPr>
        <w:tblStyle w:val="5"/>
        <w:tblW w:w="98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9"/>
        <w:gridCol w:w="1424"/>
        <w:gridCol w:w="7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29"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条款号</w:t>
            </w:r>
          </w:p>
        </w:tc>
        <w:tc>
          <w:tcPr>
            <w:tcW w:w="1424"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评分项目</w:t>
            </w:r>
          </w:p>
        </w:tc>
        <w:tc>
          <w:tcPr>
            <w:tcW w:w="7372"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1029"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4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line="360" w:lineRule="auto"/>
              <w:jc w:val="left"/>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服务方案</w:t>
            </w:r>
          </w:p>
          <w:p>
            <w:pPr>
              <w:keepNext w:val="0"/>
              <w:keepLines w:val="0"/>
              <w:widowControl w:val="0"/>
              <w:suppressLineNumbers w:val="0"/>
              <w:snapToGrid w:val="0"/>
              <w:spacing w:line="360" w:lineRule="auto"/>
              <w:jc w:val="left"/>
              <w:rPr>
                <w:rFonts w:hint="eastAsia" w:ascii="仿宋" w:hAnsi="仿宋" w:eastAsia="仿宋" w:cs="仿宋"/>
                <w:b w:val="0"/>
                <w:bCs/>
                <w:color w:val="auto"/>
                <w:sz w:val="24"/>
                <w:szCs w:val="24"/>
                <w:highlight w:val="none"/>
              </w:rPr>
            </w:pPr>
            <w:r>
              <w:rPr>
                <w:rFonts w:hint="eastAsia" w:ascii="仿宋" w:hAnsi="仿宋" w:eastAsia="仿宋" w:cs="仿宋"/>
                <w:bCs/>
                <w:color w:val="auto"/>
                <w:kern w:val="0"/>
                <w:sz w:val="24"/>
                <w:szCs w:val="24"/>
                <w:highlight w:val="none"/>
                <w:lang w:val="en-US" w:eastAsia="zh-CN"/>
              </w:rPr>
              <w:t>（10</w:t>
            </w:r>
            <w:r>
              <w:rPr>
                <w:rFonts w:hint="eastAsia" w:ascii="仿宋" w:hAnsi="仿宋" w:eastAsia="仿宋" w:cs="仿宋"/>
                <w:b w:val="0"/>
                <w:bCs/>
                <w:color w:val="auto"/>
                <w:sz w:val="24"/>
                <w:szCs w:val="24"/>
                <w:highlight w:val="none"/>
                <w:lang w:val="en-US" w:eastAsia="zh-CN"/>
              </w:rPr>
              <w:t>分)</w:t>
            </w:r>
          </w:p>
        </w:tc>
        <w:tc>
          <w:tcPr>
            <w:tcW w:w="7372" w:type="dxa"/>
            <w:tcBorders>
              <w:top w:val="single" w:color="auto" w:sz="4" w:space="0"/>
              <w:left w:val="single" w:color="auto" w:sz="4" w:space="0"/>
              <w:bottom w:val="single" w:color="auto" w:sz="4" w:space="0"/>
              <w:right w:val="single" w:color="auto" w:sz="4" w:space="0"/>
            </w:tcBorders>
            <w:noWrap w:val="0"/>
            <w:vAlign w:val="center"/>
          </w:tcPr>
          <w:p>
            <w:pPr>
              <w:widowControl w:val="0"/>
              <w:snapToGrid w:val="0"/>
              <w:spacing w:line="360" w:lineRule="auto"/>
              <w:textAlignment w:val="auto"/>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1</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服务内容及承诺特别全面，服务响应及到现场时间及时，有具体的保障措施且合理、可行、能较好</w:t>
            </w:r>
            <w:r>
              <w:rPr>
                <w:rFonts w:hint="eastAsia" w:ascii="仿宋" w:hAnsi="仿宋" w:eastAsia="仿宋" w:cs="仿宋"/>
                <w:bCs/>
                <w:color w:val="auto"/>
                <w:sz w:val="24"/>
                <w:szCs w:val="24"/>
                <w:highlight w:val="none"/>
                <w:lang w:val="en-US" w:eastAsia="zh-CN"/>
              </w:rPr>
              <w:t>地</w:t>
            </w:r>
            <w:r>
              <w:rPr>
                <w:rFonts w:hint="eastAsia" w:ascii="仿宋" w:hAnsi="仿宋" w:eastAsia="仿宋" w:cs="仿宋"/>
                <w:bCs/>
                <w:color w:val="auto"/>
                <w:sz w:val="24"/>
                <w:szCs w:val="24"/>
                <w:highlight w:val="none"/>
              </w:rPr>
              <w:t>满足本项目要求</w:t>
            </w:r>
            <w:r>
              <w:rPr>
                <w:rFonts w:hint="eastAsia" w:ascii="仿宋" w:hAnsi="仿宋" w:eastAsia="仿宋" w:cs="仿宋"/>
                <w:bCs/>
                <w:color w:val="auto"/>
                <w:sz w:val="24"/>
                <w:szCs w:val="24"/>
                <w:highlight w:val="none"/>
                <w:lang w:eastAsia="zh-CN"/>
              </w:rPr>
              <w:t>或</w:t>
            </w:r>
            <w:r>
              <w:rPr>
                <w:rFonts w:hint="eastAsia" w:ascii="仿宋" w:hAnsi="仿宋" w:eastAsia="仿宋" w:cs="仿宋"/>
                <w:bCs/>
                <w:color w:val="auto"/>
                <w:sz w:val="24"/>
                <w:szCs w:val="24"/>
                <w:highlight w:val="none"/>
              </w:rPr>
              <w:t>优于采购人要求的，</w:t>
            </w:r>
            <w:r>
              <w:rPr>
                <w:rFonts w:hint="eastAsia" w:ascii="仿宋" w:hAnsi="仿宋" w:eastAsia="仿宋" w:cs="仿宋"/>
                <w:bCs/>
                <w:color w:val="auto"/>
                <w:sz w:val="24"/>
                <w:szCs w:val="24"/>
                <w:highlight w:val="none"/>
                <w:lang w:eastAsia="zh-CN"/>
              </w:rPr>
              <w:t>有</w:t>
            </w:r>
            <w:r>
              <w:rPr>
                <w:rFonts w:hint="eastAsia" w:ascii="仿宋" w:hAnsi="仿宋" w:eastAsia="仿宋" w:cs="仿宋"/>
                <w:bCs/>
                <w:color w:val="auto"/>
                <w:sz w:val="24"/>
                <w:szCs w:val="24"/>
                <w:highlight w:val="none"/>
              </w:rPr>
              <w:t>提供的本地化服务保障措施及承诺较好的得</w:t>
            </w:r>
            <w:r>
              <w:rPr>
                <w:rFonts w:hint="eastAsia" w:ascii="仿宋" w:hAnsi="仿宋" w:eastAsia="仿宋" w:cs="仿宋"/>
                <w:bCs/>
                <w:color w:val="auto"/>
                <w:sz w:val="24"/>
                <w:szCs w:val="24"/>
                <w:highlight w:val="none"/>
                <w:lang w:val="en-US" w:eastAsia="zh-CN"/>
              </w:rPr>
              <w:t>7-10</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eastAsia="zh-CN"/>
              </w:rPr>
              <w:t>；</w:t>
            </w:r>
          </w:p>
          <w:p>
            <w:pPr>
              <w:widowControl w:val="0"/>
              <w:snapToGrid w:val="0"/>
              <w:spacing w:line="360" w:lineRule="auto"/>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服务内容及承诺较全面，有书面计划和可行的措施，响应以及到现场时间较及时，有具体的保证措施且合理、可行，能基本满足本项目要求，提供的本地化服务保障措施及承诺一般的得</w:t>
            </w:r>
            <w:r>
              <w:rPr>
                <w:rFonts w:hint="eastAsia" w:ascii="仿宋" w:hAnsi="仿宋" w:eastAsia="仿宋" w:cs="仿宋"/>
                <w:bCs/>
                <w:color w:val="auto"/>
                <w:sz w:val="24"/>
                <w:szCs w:val="24"/>
                <w:highlight w:val="none"/>
                <w:lang w:val="en-US" w:eastAsia="zh-CN"/>
              </w:rPr>
              <w:t>4-6</w:t>
            </w:r>
            <w:r>
              <w:rPr>
                <w:rFonts w:hint="eastAsia" w:ascii="仿宋" w:hAnsi="仿宋" w:eastAsia="仿宋" w:cs="仿宋"/>
                <w:bCs/>
                <w:color w:val="auto"/>
                <w:sz w:val="24"/>
                <w:szCs w:val="24"/>
                <w:highlight w:val="none"/>
              </w:rPr>
              <w:t>分；</w:t>
            </w:r>
          </w:p>
          <w:p>
            <w:pPr>
              <w:widowControl w:val="0"/>
              <w:snapToGrid w:val="0"/>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3</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售后服务内容及承诺一般，响应以及到现场时间较慢，有具体的保证措施且基本合理、可行，能基本满足本项目要求，提供的本地化服务保障措施及承诺较差的得</w:t>
            </w:r>
            <w:r>
              <w:rPr>
                <w:rFonts w:hint="eastAsia" w:ascii="仿宋" w:hAnsi="仿宋" w:eastAsia="仿宋" w:cs="仿宋"/>
                <w:bCs/>
                <w:color w:val="auto"/>
                <w:sz w:val="24"/>
                <w:szCs w:val="24"/>
                <w:highlight w:val="none"/>
                <w:lang w:val="en-US" w:eastAsia="zh-CN"/>
              </w:rPr>
              <w:t>1-3</w:t>
            </w:r>
            <w:r>
              <w:rPr>
                <w:rFonts w:hint="eastAsia" w:ascii="仿宋" w:hAnsi="仿宋" w:eastAsia="仿宋" w:cs="仿宋"/>
                <w:bCs/>
                <w:color w:val="auto"/>
                <w:sz w:val="24"/>
                <w:szCs w:val="24"/>
                <w:highlight w:val="none"/>
              </w:rPr>
              <w:t>分。</w:t>
            </w:r>
          </w:p>
          <w:p>
            <w:pPr>
              <w:widowControl w:val="0"/>
              <w:snapToGrid w:val="0"/>
              <w:spacing w:line="360" w:lineRule="auto"/>
              <w:jc w:val="left"/>
              <w:rPr>
                <w:rFonts w:hint="eastAsia" w:ascii="仿宋" w:hAnsi="仿宋" w:eastAsia="仿宋" w:cs="仿宋"/>
                <w:b w:val="0"/>
                <w:bCs/>
                <w:color w:val="auto"/>
                <w:sz w:val="24"/>
                <w:szCs w:val="24"/>
                <w:highlight w:val="none"/>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4</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无售后服务内容及承诺的得0分；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0" w:hRule="atLeast"/>
          <w:jc w:val="center"/>
        </w:trPr>
        <w:tc>
          <w:tcPr>
            <w:tcW w:w="1029"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424" w:type="dxa"/>
            <w:tcBorders>
              <w:top w:val="single" w:color="auto" w:sz="4" w:space="0"/>
              <w:left w:val="single" w:color="auto" w:sz="4" w:space="0"/>
              <w:bottom w:val="single" w:color="auto" w:sz="4" w:space="0"/>
              <w:right w:val="single" w:color="auto" w:sz="4" w:space="0"/>
            </w:tcBorders>
            <w:noWrap w:val="0"/>
            <w:vAlign w:val="center"/>
          </w:tcPr>
          <w:p>
            <w:pPr>
              <w:widowControl w:val="0"/>
              <w:snapToGrid w:val="0"/>
              <w:spacing w:line="360" w:lineRule="auto"/>
              <w:ind w:firstLine="240" w:firstLineChars="100"/>
              <w:jc w:val="left"/>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业绩</w:t>
            </w:r>
          </w:p>
          <w:p>
            <w:pPr>
              <w:widowControl w:val="0"/>
              <w:snapToGrid w:val="0"/>
              <w:spacing w:line="360" w:lineRule="auto"/>
              <w:jc w:val="left"/>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（10分）</w:t>
            </w:r>
          </w:p>
        </w:tc>
        <w:tc>
          <w:tcPr>
            <w:tcW w:w="7372" w:type="dxa"/>
            <w:tcBorders>
              <w:top w:val="single" w:color="auto" w:sz="4" w:space="0"/>
              <w:left w:val="single" w:color="auto" w:sz="4" w:space="0"/>
              <w:bottom w:val="single" w:color="auto" w:sz="4" w:space="0"/>
              <w:right w:val="single" w:color="auto" w:sz="4" w:space="0"/>
            </w:tcBorders>
            <w:noWrap w:val="0"/>
            <w:vAlign w:val="center"/>
          </w:tcPr>
          <w:p>
            <w:pPr>
              <w:widowControl w:val="0"/>
              <w:snapToGrid w:val="0"/>
              <w:spacing w:line="360" w:lineRule="auto"/>
              <w:jc w:val="left"/>
              <w:rPr>
                <w:rFonts w:hint="eastAsia" w:ascii="仿宋" w:hAnsi="仿宋" w:eastAsia="仿宋" w:cs="仿宋"/>
                <w:b w:val="0"/>
                <w:bCs/>
                <w:color w:val="auto"/>
                <w:sz w:val="24"/>
                <w:szCs w:val="24"/>
                <w:highlight w:val="none"/>
                <w:lang w:val="en-US" w:eastAsia="zh-CN"/>
              </w:rPr>
            </w:pPr>
            <w:r>
              <w:rPr>
                <w:rFonts w:hint="eastAsia" w:ascii="仿宋" w:hAnsi="仿宋" w:eastAsia="仿宋" w:cs="仿宋"/>
                <w:bCs/>
                <w:color w:val="auto"/>
                <w:sz w:val="24"/>
                <w:szCs w:val="24"/>
                <w:highlight w:val="none"/>
                <w:u w:val="none"/>
                <w:lang w:val="en-US" w:eastAsia="zh-CN"/>
              </w:rPr>
              <w:t>提供2021年6月1日至今具有类似供货业绩，每提供一个有效业绩得2分，满分10分。（有效业绩需提供中标通知书或合同扫描件或发票，中标通知书或合同扫描件或发票中的单价、金额、采购人等关键信息不得涂盖，有效业绩必须是谈判申请人（本公司）与本项目采购货物相同的供货业绩：</w:t>
            </w:r>
            <w:r>
              <w:rPr>
                <w:rFonts w:hint="eastAsia" w:ascii="仿宋" w:hAnsi="仿宋" w:eastAsia="仿宋" w:cs="仿宋"/>
                <w:color w:val="000000" w:themeColor="text1"/>
                <w:sz w:val="24"/>
                <w:highlight w:val="none"/>
                <w:lang w:val="en-US" w:eastAsia="zh-CN"/>
                <w14:textFill>
                  <w14:solidFill>
                    <w14:schemeClr w14:val="tx1"/>
                  </w14:solidFill>
                </w14:textFill>
              </w:rPr>
              <w:t>床旁心肌酶谱检测仪</w:t>
            </w:r>
            <w:r>
              <w:rPr>
                <w:rFonts w:hint="eastAsia" w:ascii="仿宋" w:hAnsi="仿宋" w:eastAsia="仿宋" w:cs="仿宋"/>
                <w:bCs/>
                <w:color w:val="auto"/>
                <w:sz w:val="24"/>
                <w:szCs w:val="24"/>
                <w:highlight w:val="none"/>
                <w:u w:val="none"/>
                <w:lang w:val="en-US" w:eastAsia="zh-CN"/>
              </w:rPr>
              <w:t>及配套耗材销售供应）</w:t>
            </w:r>
          </w:p>
        </w:tc>
      </w:tr>
    </w:tbl>
    <w:p>
      <w:pPr>
        <w:pStyle w:val="2"/>
        <w:rPr>
          <w:rFonts w:hint="eastAsia"/>
          <w:lang w:eastAsia="zh-CN"/>
        </w:rPr>
      </w:pPr>
    </w:p>
    <w:p>
      <w:pPr>
        <w:keepNext w:val="0"/>
        <w:keepLines w:val="0"/>
        <w:widowControl/>
        <w:suppressLineNumbers w:val="0"/>
        <w:jc w:val="left"/>
      </w:pPr>
    </w:p>
    <w:p>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59CC030D"/>
    <w:rsid w:val="02141D77"/>
    <w:rsid w:val="02691984"/>
    <w:rsid w:val="037472F8"/>
    <w:rsid w:val="03ED346D"/>
    <w:rsid w:val="042E42B8"/>
    <w:rsid w:val="05B97511"/>
    <w:rsid w:val="08B03E69"/>
    <w:rsid w:val="0B8E3FFD"/>
    <w:rsid w:val="0BA17532"/>
    <w:rsid w:val="0BDC4F6E"/>
    <w:rsid w:val="11576F7C"/>
    <w:rsid w:val="1771005C"/>
    <w:rsid w:val="17AE1A29"/>
    <w:rsid w:val="1A306A02"/>
    <w:rsid w:val="1A385198"/>
    <w:rsid w:val="21D27278"/>
    <w:rsid w:val="22590C76"/>
    <w:rsid w:val="23C13183"/>
    <w:rsid w:val="26010C4D"/>
    <w:rsid w:val="267143DF"/>
    <w:rsid w:val="279D069F"/>
    <w:rsid w:val="2C5518F5"/>
    <w:rsid w:val="383E384F"/>
    <w:rsid w:val="388042A0"/>
    <w:rsid w:val="3943642A"/>
    <w:rsid w:val="3D946B9A"/>
    <w:rsid w:val="41641CA7"/>
    <w:rsid w:val="41BE5E0E"/>
    <w:rsid w:val="45C87CCF"/>
    <w:rsid w:val="47846D32"/>
    <w:rsid w:val="486D73A7"/>
    <w:rsid w:val="4D1E3BF5"/>
    <w:rsid w:val="4F94559A"/>
    <w:rsid w:val="55694DE8"/>
    <w:rsid w:val="56C86934"/>
    <w:rsid w:val="58DF3AAB"/>
    <w:rsid w:val="59CC030D"/>
    <w:rsid w:val="5AD023FF"/>
    <w:rsid w:val="5F9F0D42"/>
    <w:rsid w:val="649E3780"/>
    <w:rsid w:val="64C6798C"/>
    <w:rsid w:val="6B64178A"/>
    <w:rsid w:val="6BA71E32"/>
    <w:rsid w:val="727F2737"/>
    <w:rsid w:val="7D86730E"/>
    <w:rsid w:val="7FCE31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customStyle="1" w:styleId="2">
    <w:name w:val="标题 5（有编号）（绿盟科技）"/>
    <w:basedOn w:val="1"/>
    <w:next w:val="3"/>
    <w:autoRedefine/>
    <w:qFormat/>
    <w:uiPriority w:val="0"/>
    <w:pPr>
      <w:keepNext/>
      <w:keepLines/>
      <w:numPr>
        <w:ilvl w:val="4"/>
        <w:numId w:val="1"/>
      </w:numPr>
      <w:tabs>
        <w:tab w:val="left" w:pos="0"/>
      </w:tabs>
      <w:spacing w:before="280" w:after="156" w:line="377" w:lineRule="auto"/>
      <w:jc w:val="left"/>
      <w:outlineLvl w:val="4"/>
    </w:pPr>
    <w:rPr>
      <w:rFonts w:ascii="Arial" w:hAnsi="Arial" w:eastAsia="黑体"/>
      <w:b/>
      <w:kern w:val="0"/>
      <w:sz w:val="24"/>
      <w:szCs w:val="28"/>
    </w:rPr>
  </w:style>
  <w:style w:type="paragraph" w:customStyle="1" w:styleId="3">
    <w:name w:val="正文（绿盟科技）"/>
    <w:next w:val="1"/>
    <w:autoRedefine/>
    <w:qFormat/>
    <w:uiPriority w:val="0"/>
    <w:pPr>
      <w:spacing w:line="300" w:lineRule="auto"/>
    </w:pPr>
    <w:rPr>
      <w:rFonts w:ascii="Arial" w:hAnsi="Arial" w:eastAsia="宋体" w:cs="黑体"/>
      <w:sz w:val="21"/>
      <w:szCs w:val="21"/>
      <w:lang w:val="en-US" w:eastAsia="zh-CN" w:bidi="ar-SA"/>
    </w:rPr>
  </w:style>
  <w:style w:type="paragraph" w:styleId="4">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979</Words>
  <Characters>993</Characters>
  <Lines>0</Lines>
  <Paragraphs>0</Paragraphs>
  <TotalTime>3</TotalTime>
  <ScaleCrop>false</ScaleCrop>
  <LinksUpToDate>false</LinksUpToDate>
  <CharactersWithSpaces>995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2023-05-19T06:55:00Z</dcterms:created>
  <dc:creator>Administrator</dc:creator>
  <cp:lastModifiedBy>木香</cp:lastModifiedBy>
  <cp:lastPrinted>2024-02-20T07:24:00Z</cp:lastPrinted>
  <dcterms:modified xsi:type="dcterms:W3CDTF">2024-06-26T06:22:17Z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EF91788F010144B392240AFDDBF2DFA7_13</vt:lpwstr>
  </property>
</Properties>
</file>