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sz w:val="44"/>
          <w:szCs w:val="44"/>
          <w14:textFill>
            <w14:solidFill>
              <w14:schemeClr w14:val="tx1"/>
            </w14:solidFill>
          </w14:textFill>
        </w:rPr>
      </w:pPr>
      <w:bookmarkStart w:id="0" w:name="_Toc23194"/>
      <w:bookmarkStart w:id="1" w:name="_Toc1953"/>
      <w:bookmarkStart w:id="2" w:name="_Toc28373"/>
      <w:bookmarkStart w:id="3" w:name="_Toc24959"/>
      <w:bookmarkStart w:id="4"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安宁市医疗共同体合理用药知识库及数据更新服务购置项目（2024-2025年度）</w:t>
      </w:r>
      <w:bookmarkEnd w:id="0"/>
      <w:bookmarkEnd w:id="1"/>
      <w:bookmarkEnd w:id="2"/>
      <w:bookmarkEnd w:id="3"/>
      <w:bookmarkEnd w:id="4"/>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32"/>
          <w:szCs w:val="32"/>
          <w:lang w:val="en-US" w:eastAsia="zh-CN"/>
          <w14:textFill>
            <w14:solidFill>
              <w14:schemeClr w14:val="tx1"/>
            </w14:solidFill>
          </w14:textFill>
        </w:rPr>
      </w:pPr>
      <w:bookmarkStart w:id="5" w:name="_Toc11021"/>
      <w:bookmarkStart w:id="6" w:name="_Toc17988"/>
      <w:bookmarkStart w:id="7" w:name="_Toc22227"/>
      <w:bookmarkStart w:id="8" w:name="_Toc24350"/>
      <w:bookmarkStart w:id="9" w:name="_Toc20741"/>
      <w:bookmarkStart w:id="10" w:name="_Toc9230"/>
      <w:bookmarkStart w:id="11" w:name="_Toc5508"/>
      <w:bookmarkStart w:id="12" w:name="_Toc8470"/>
      <w:bookmarkStart w:id="13" w:name="_Toc22156"/>
      <w:bookmarkStart w:id="14" w:name="_Toc4064"/>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bookmarkEnd w:id="12"/>
      <w:bookmarkEnd w:id="13"/>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56</w:t>
      </w:r>
      <w:bookmarkEnd w:id="14"/>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ind w:firstLine="1441" w:firstLineChars="200"/>
        <w:jc w:val="both"/>
        <w:outlineLvl w:val="0"/>
        <w:rPr>
          <w:rFonts w:hint="eastAsia" w:ascii="华文楷体" w:hAnsi="华文楷体" w:eastAsia="华文楷体" w:cs="华文楷体"/>
          <w:b/>
          <w:bCs/>
          <w:color w:val="000000" w:themeColor="text1"/>
          <w:sz w:val="72"/>
          <w:szCs w:val="72"/>
          <w14:textFill>
            <w14:solidFill>
              <w14:schemeClr w14:val="tx1"/>
            </w14:solidFill>
          </w14:textFill>
        </w:rPr>
      </w:pPr>
      <w:bookmarkStart w:id="15" w:name="_Toc3978"/>
      <w:bookmarkStart w:id="16" w:name="_Toc7654"/>
      <w:bookmarkStart w:id="17" w:name="_Toc17121"/>
      <w:bookmarkStart w:id="18" w:name="_Toc6444"/>
      <w:bookmarkStart w:id="19" w:name="_Toc1134"/>
      <w:bookmarkStart w:id="20" w:name="_Toc11955"/>
      <w:bookmarkStart w:id="21" w:name="_Toc25131"/>
      <w:bookmarkStart w:id="22" w:name="_Toc30971"/>
      <w:bookmarkStart w:id="23" w:name="_Toc23534"/>
      <w:r>
        <w:rPr>
          <w:rFonts w:hint="eastAsia" w:ascii="华文楷体" w:hAnsi="华文楷体" w:eastAsia="华文楷体" w:cs="华文楷体"/>
          <w:b/>
          <w:bCs/>
          <w:color w:val="000000" w:themeColor="text1"/>
          <w:sz w:val="72"/>
          <w:szCs w:val="72"/>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72"/>
          <w:szCs w:val="72"/>
          <w14:textFill>
            <w14:solidFill>
              <w14:schemeClr w14:val="tx1"/>
            </w14:solidFill>
          </w14:textFill>
        </w:rPr>
        <w:t>文件</w:t>
      </w:r>
      <w:bookmarkEnd w:id="15"/>
      <w:bookmarkEnd w:id="16"/>
      <w:bookmarkEnd w:id="17"/>
      <w:bookmarkEnd w:id="18"/>
      <w:bookmarkEnd w:id="19"/>
      <w:bookmarkEnd w:id="20"/>
      <w:bookmarkEnd w:id="21"/>
      <w:bookmarkEnd w:id="22"/>
      <w:bookmarkEnd w:id="23"/>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4" w:name="_Toc14917"/>
      <w:bookmarkEnd w:id="24"/>
      <w:bookmarkStart w:id="25" w:name="_Toc184"/>
      <w:bookmarkEnd w:id="25"/>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_Toc23194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安宁市医疗共同体合理用药知识库及数据更新服务购置项目（2024-2025年度）</w:t>
          </w:r>
          <w:r>
            <w:tab/>
          </w:r>
          <w:r>
            <w:fldChar w:fldCharType="begin"/>
          </w:r>
          <w:r>
            <w:instrText xml:space="preserve"> PAGEREF _Toc23194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2024N56</w:t>
          </w:r>
          <w:r>
            <w:tab/>
          </w:r>
          <w:r>
            <w:fldChar w:fldCharType="begin"/>
          </w:r>
          <w:r>
            <w:instrText xml:space="preserve"> PAGEREF _Toc4064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_Toc25131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72"/>
              <w:lang w:eastAsia="zh-CN"/>
            </w:rPr>
            <w:t>院内谈判响应</w:t>
          </w:r>
          <w:r>
            <w:rPr>
              <w:rFonts w:hint="eastAsia" w:ascii="华文楷体" w:hAnsi="华文楷体" w:eastAsia="华文楷体" w:cs="华文楷体"/>
              <w:bCs/>
              <w:szCs w:val="72"/>
            </w:rPr>
            <w:t>文件</w:t>
          </w:r>
          <w:r>
            <w:tab/>
          </w:r>
          <w:r>
            <w:fldChar w:fldCharType="begin"/>
          </w:r>
          <w:r>
            <w:instrText xml:space="preserve"> PAGEREF _Toc25131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_Toc30693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_Toc30693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_Toc10260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24"/>
            </w:rPr>
            <w:t>项目名称：</w:t>
          </w:r>
          <w:r>
            <w:rPr>
              <w:rFonts w:hint="eastAsia" w:ascii="华文楷体" w:hAnsi="华文楷体" w:eastAsia="华文楷体" w:cs="华文楷体"/>
              <w:szCs w:val="24"/>
              <w:lang w:val="en-US" w:eastAsia="zh-CN"/>
            </w:rPr>
            <w:t>安宁市医疗共同体合理用药知识库及数据更新服务购置项目（2024-2025年度）</w:t>
          </w:r>
          <w:r>
            <w:tab/>
          </w:r>
          <w:r>
            <w:fldChar w:fldCharType="begin"/>
          </w:r>
          <w:r>
            <w:instrText xml:space="preserve"> PAGEREF _Toc10260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_Toc15843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_Toc15843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_Toc23057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szCs w:val="22"/>
              <w:lang w:val="en-US" w:eastAsia="zh-CN"/>
            </w:rPr>
            <w:t>我方仔细研究了安宁市医疗共同体合理用药知识库及数据更新服务购置项目（2024-2025年度）</w:t>
          </w:r>
          <w:r>
            <w:rPr>
              <w:rFonts w:hint="eastAsia" w:ascii="华文楷体" w:hAnsi="华文楷体" w:eastAsia="华文楷体" w:cs="华文楷体"/>
              <w:szCs w:val="22"/>
              <w:lang w:val="en-US" w:eastAsia="zh-CN"/>
            </w:rPr>
            <w:t>（采购编号： ANYGT-YNTP-2024N56）</w:t>
          </w:r>
          <w:r>
            <w:rPr>
              <w:rFonts w:hint="eastAsia" w:ascii="华文楷体" w:hAnsi="华文楷体" w:eastAsia="华文楷体" w:cs="华文楷体"/>
              <w:bCs w:val="0"/>
              <w:szCs w:val="22"/>
              <w:lang w:val="en-US" w:eastAsia="zh-CN"/>
            </w:rPr>
            <w:t>采购要求的全部内容，正式授权下述签字人   （姓名和职务）     全权代表响应人  （响应人全称）   参加谈判，并提交响应文件。</w:t>
          </w:r>
          <w:r>
            <w:tab/>
          </w:r>
          <w:r>
            <w:fldChar w:fldCharType="begin"/>
          </w:r>
          <w:r>
            <w:instrText xml:space="preserve"> PAGEREF _Toc23057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_Toc15014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四、响应人信息表</w:t>
          </w:r>
          <w:r>
            <w:tab/>
          </w:r>
          <w:r>
            <w:fldChar w:fldCharType="begin"/>
          </w:r>
          <w:r>
            <w:instrText xml:space="preserve"> PAGEREF _Toc15014 \h </w:instrText>
          </w:r>
          <w:r>
            <w:fldChar w:fldCharType="separate"/>
          </w:r>
          <w:r>
            <w:t>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_Toc20408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五、法定代表人(负责人)身份证明书</w:t>
          </w:r>
          <w:r>
            <w:tab/>
          </w:r>
          <w:r>
            <w:fldChar w:fldCharType="begin"/>
          </w:r>
          <w:r>
            <w:instrText xml:space="preserve"> PAGEREF _Toc20408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_Toc10624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六、法定代表人（负责人）授权委托书</w:t>
          </w:r>
          <w:r>
            <w:tab/>
          </w:r>
          <w:r>
            <w:fldChar w:fldCharType="begin"/>
          </w:r>
          <w:r>
            <w:instrText xml:space="preserve"> PAGEREF _Toc10624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_Toc22749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七、质量保证书</w:t>
          </w:r>
          <w:r>
            <w:tab/>
          </w:r>
          <w:r>
            <w:fldChar w:fldCharType="begin"/>
          </w:r>
          <w:r>
            <w:instrText xml:space="preserve"> PAGEREF _Toc22749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_Toc15767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八、经销商资质文件</w:t>
          </w:r>
          <w:r>
            <w:tab/>
          </w:r>
          <w:r>
            <w:fldChar w:fldCharType="begin"/>
          </w:r>
          <w:r>
            <w:instrText xml:space="preserve"> PAGEREF _Toc15767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_Toc31786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九、产品技术资料</w:t>
          </w:r>
          <w:r>
            <w:tab/>
          </w:r>
          <w:r>
            <w:fldChar w:fldCharType="begin"/>
          </w:r>
          <w:r>
            <w:instrText xml:space="preserve"> PAGEREF _Toc31786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_Toc27293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十、服务方案</w:t>
          </w:r>
          <w:r>
            <w:tab/>
          </w:r>
          <w:r>
            <w:fldChar w:fldCharType="begin"/>
          </w:r>
          <w:r>
            <w:instrText xml:space="preserve"> PAGEREF _Toc27293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_Toc3952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十一、业绩</w:t>
          </w:r>
          <w:r>
            <w:tab/>
          </w:r>
          <w:r>
            <w:fldChar w:fldCharType="begin"/>
          </w:r>
          <w:r>
            <w:instrText xml:space="preserve"> PAGEREF _Toc3952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_Toc17508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十二、响应人认为有必要提供的其他文件</w:t>
          </w:r>
          <w:r>
            <w:tab/>
          </w:r>
          <w:r>
            <w:fldChar w:fldCharType="begin"/>
          </w:r>
          <w:r>
            <w:instrText xml:space="preserve"> PAGEREF _Toc17508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_Toc8054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致：</w:t>
          </w:r>
          <w:r>
            <w:rPr>
              <w:rFonts w:hint="eastAsia" w:ascii="华文楷体" w:hAnsi="华文楷体" w:eastAsia="华文楷体" w:cs="华文楷体"/>
              <w:bCs/>
              <w:szCs w:val="28"/>
              <w:lang w:eastAsia="zh-CN"/>
            </w:rPr>
            <w:t>安宁市医疗共同体</w:t>
          </w:r>
          <w:r>
            <w:tab/>
          </w:r>
          <w:r>
            <w:fldChar w:fldCharType="begin"/>
          </w:r>
          <w:r>
            <w:instrText xml:space="preserve"> PAGEREF _Toc8054 \h </w:instrText>
          </w:r>
          <w:r>
            <w:fldChar w:fldCharType="separate"/>
          </w:r>
          <w:r>
            <w:t>16</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rPr>
      </w:pPr>
      <w:bookmarkStart w:id="26" w:name="_Toc30693"/>
      <w:r>
        <w:rPr>
          <w:rFonts w:hint="eastAsia" w:ascii="华文楷体" w:hAnsi="华文楷体" w:eastAsia="华文楷体" w:cs="华文楷体"/>
          <w:color w:val="FF0000"/>
          <w:sz w:val="32"/>
          <w:szCs w:val="32"/>
          <w:lang w:val="en-US" w:eastAsia="zh-CN"/>
        </w:rPr>
        <w:t>一、开标一览表</w:t>
      </w:r>
      <w:bookmarkEnd w:id="26"/>
      <w:r>
        <w:rPr>
          <w:rFonts w:hint="eastAsia" w:ascii="华文楷体" w:hAnsi="华文楷体" w:eastAsia="华文楷体" w:cs="华文楷体"/>
        </w:rPr>
        <w:t xml:space="preserve"> </w:t>
      </w:r>
    </w:p>
    <w:p>
      <w:pPr>
        <w:keepNext w:val="0"/>
        <w:keepLines w:val="0"/>
        <w:pageBreakBefore w:val="0"/>
        <w:widowControl w:val="0"/>
        <w:kinsoku/>
        <w:wordWrap w:val="0"/>
        <w:overflowPunct/>
        <w:topLinePunct w:val="0"/>
        <w:autoSpaceDE/>
        <w:autoSpaceDN/>
        <w:bidi w:val="0"/>
        <w:adjustRightInd/>
        <w:snapToGrid/>
        <w:spacing w:line="240" w:lineRule="auto"/>
        <w:ind w:left="0" w:hanging="240" w:hangingChars="100"/>
        <w:jc w:val="both"/>
        <w:textAlignment w:val="auto"/>
        <w:outlineLvl w:val="0"/>
        <w:rPr>
          <w:rFonts w:hint="eastAsia" w:ascii="华文楷体" w:hAnsi="华文楷体" w:eastAsia="华文楷体" w:cs="华文楷体"/>
          <w:b/>
          <w:bCs/>
          <w:color w:val="000000" w:themeColor="text1"/>
          <w:sz w:val="44"/>
          <w:szCs w:val="44"/>
          <w14:textFill>
            <w14:solidFill>
              <w14:schemeClr w14:val="tx1"/>
            </w14:solidFill>
          </w14:textFill>
        </w:rPr>
      </w:pPr>
      <w:bookmarkStart w:id="27" w:name="_Toc10260"/>
      <w:r>
        <w:rPr>
          <w:rFonts w:hint="eastAsia" w:ascii="华文楷体" w:hAnsi="华文楷体" w:eastAsia="华文楷体" w:cs="华文楷体"/>
          <w:sz w:val="24"/>
          <w:szCs w:val="24"/>
        </w:rPr>
        <w:t>项目名称：</w:t>
      </w:r>
      <w:r>
        <w:rPr>
          <w:rFonts w:hint="eastAsia" w:ascii="华文楷体" w:hAnsi="华文楷体" w:eastAsia="华文楷体" w:cs="华文楷体"/>
          <w:sz w:val="24"/>
          <w:szCs w:val="24"/>
          <w:lang w:val="en-US" w:eastAsia="zh-CN"/>
        </w:rPr>
        <w:t>安宁市医疗共同体合理用药知识库及数据更新服务购置项目（2024-2025年度）</w:t>
      </w:r>
      <w:bookmarkEnd w:id="27"/>
    </w:p>
    <w:p>
      <w:pPr>
        <w:widowControl w:val="0"/>
        <w:spacing w:line="480" w:lineRule="exact"/>
        <w:rPr>
          <w:rFonts w:hint="default" w:ascii="华文楷体" w:hAnsi="华文楷体" w:eastAsia="华文楷体" w:cs="华文楷体"/>
          <w:sz w:val="28"/>
          <w:szCs w:val="28"/>
          <w:lang w:val="en-US"/>
        </w:rPr>
      </w:pPr>
      <w:r>
        <w:rPr>
          <w:rFonts w:hint="eastAsia" w:ascii="华文楷体" w:hAnsi="华文楷体" w:eastAsia="华文楷体" w:cs="华文楷体"/>
          <w:sz w:val="24"/>
          <w:szCs w:val="24"/>
        </w:rPr>
        <w:t>项目编号：</w:t>
      </w:r>
      <w:r>
        <w:rPr>
          <w:rFonts w:hint="eastAsia" w:ascii="华文楷体" w:hAnsi="华文楷体" w:eastAsia="华文楷体" w:cs="华文楷体"/>
          <w:sz w:val="24"/>
          <w:szCs w:val="24"/>
          <w:lang w:val="en-US" w:eastAsia="zh-CN"/>
        </w:rPr>
        <w:t>ANYGT-YNTP-2024N56</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8"/>
        <w:gridCol w:w="6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jc w:val="center"/>
        </w:trPr>
        <w:tc>
          <w:tcPr>
            <w:tcW w:w="2318" w:type="dxa"/>
            <w:vMerge w:val="restart"/>
            <w:tcBorders>
              <w:top w:val="single" w:color="auto" w:sz="4" w:space="0"/>
              <w:left w:val="single" w:color="auto" w:sz="4" w:space="0"/>
              <w:right w:val="single" w:color="auto" w:sz="4" w:space="0"/>
            </w:tcBorders>
            <w:noWrap w:val="0"/>
            <w:vAlign w:val="center"/>
          </w:tcPr>
          <w:p>
            <w:pPr>
              <w:widowControl w:val="0"/>
              <w:spacing w:line="360" w:lineRule="auto"/>
              <w:jc w:val="center"/>
              <w:rPr>
                <w:rFonts w:hint="eastAsia" w:ascii="华文楷体" w:hAnsi="华文楷体" w:eastAsia="华文楷体" w:cs="华文楷体"/>
                <w:bCs/>
                <w:sz w:val="24"/>
              </w:rPr>
            </w:pPr>
            <w:r>
              <w:rPr>
                <w:rFonts w:hint="eastAsia" w:ascii="华文楷体" w:hAnsi="华文楷体" w:eastAsia="华文楷体" w:cs="华文楷体"/>
                <w:bCs/>
                <w:sz w:val="24"/>
              </w:rPr>
              <w:t>响应报价（元</w:t>
            </w:r>
            <w:r>
              <w:rPr>
                <w:rFonts w:hint="eastAsia" w:ascii="华文楷体" w:hAnsi="华文楷体" w:eastAsia="华文楷体" w:cs="华文楷体"/>
                <w:bCs/>
                <w:sz w:val="24"/>
                <w:lang w:val="en-US" w:eastAsia="zh-CN"/>
              </w:rPr>
              <w:t>/年</w:t>
            </w:r>
            <w:r>
              <w:rPr>
                <w:rFonts w:hint="eastAsia" w:ascii="华文楷体" w:hAnsi="华文楷体" w:eastAsia="华文楷体" w:cs="华文楷体"/>
                <w:bCs/>
                <w:sz w:val="24"/>
              </w:rPr>
              <w:t>）</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安宁市第一人民医院：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jc w:val="center"/>
        </w:trPr>
        <w:tc>
          <w:tcPr>
            <w:tcW w:w="2318" w:type="dxa"/>
            <w:vMerge w:val="continue"/>
            <w:tcBorders>
              <w:left w:val="single" w:color="auto" w:sz="4" w:space="0"/>
              <w:right w:val="single" w:color="auto" w:sz="4" w:space="0"/>
            </w:tcBorders>
            <w:noWrap w:val="0"/>
            <w:vAlign w:val="center"/>
          </w:tcPr>
          <w:p>
            <w:pPr>
              <w:widowControl w:val="0"/>
              <w:spacing w:line="360" w:lineRule="auto"/>
              <w:jc w:val="center"/>
              <w:rPr>
                <w:rFonts w:hint="eastAsia" w:ascii="华文楷体" w:hAnsi="华文楷体" w:eastAsia="华文楷体" w:cs="华文楷体"/>
                <w:bCs/>
                <w:sz w:val="24"/>
              </w:rPr>
            </w:pP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r>
              <w:rPr>
                <w:rFonts w:hint="eastAsia" w:ascii="华文楷体" w:hAnsi="华文楷体" w:eastAsia="华文楷体" w:cs="华文楷体"/>
                <w:sz w:val="24"/>
                <w:lang w:eastAsia="zh-CN"/>
              </w:rPr>
              <w:t>安宁市中医医院：</w:t>
            </w:r>
            <w:r>
              <w:rPr>
                <w:rFonts w:hint="eastAsia" w:ascii="华文楷体" w:hAnsi="华文楷体" w:eastAsia="华文楷体" w:cs="华文楷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2318" w:type="dxa"/>
            <w:vMerge w:val="continue"/>
            <w:tcBorders>
              <w:left w:val="single" w:color="auto" w:sz="4" w:space="0"/>
              <w:bottom w:val="single" w:color="auto" w:sz="4" w:space="0"/>
              <w:right w:val="single" w:color="auto" w:sz="4" w:space="0"/>
            </w:tcBorders>
            <w:noWrap w:val="0"/>
            <w:vAlign w:val="center"/>
          </w:tcPr>
          <w:p>
            <w:pPr>
              <w:widowControl w:val="0"/>
              <w:spacing w:line="360" w:lineRule="auto"/>
              <w:ind w:firstLine="2" w:firstLineChars="1"/>
              <w:jc w:val="center"/>
              <w:rPr>
                <w:rFonts w:hint="eastAsia" w:ascii="华文楷体" w:hAnsi="华文楷体" w:eastAsia="华文楷体" w:cs="华文楷体"/>
                <w:bCs/>
                <w:sz w:val="24"/>
              </w:rPr>
            </w:pP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2318"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ind w:firstLine="2" w:firstLineChars="1"/>
              <w:jc w:val="center"/>
              <w:rPr>
                <w:rFonts w:hint="eastAsia" w:ascii="华文楷体" w:hAnsi="华文楷体" w:eastAsia="华文楷体" w:cs="华文楷体"/>
                <w:bCs/>
                <w:sz w:val="24"/>
              </w:rPr>
            </w:pPr>
            <w:r>
              <w:rPr>
                <w:rFonts w:hint="eastAsia" w:ascii="华文楷体" w:hAnsi="华文楷体" w:eastAsia="华文楷体" w:cs="华文楷体"/>
                <w:bCs/>
                <w:sz w:val="24"/>
              </w:rPr>
              <w:t>合同履行期限</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2318"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华文楷体" w:hAnsi="华文楷体" w:eastAsia="华文楷体" w:cs="华文楷体"/>
                <w:kern w:val="2"/>
                <w:sz w:val="24"/>
                <w:szCs w:val="24"/>
              </w:rPr>
            </w:pPr>
            <w:r>
              <w:rPr>
                <w:rFonts w:hint="eastAsia" w:ascii="华文楷体" w:hAnsi="华文楷体" w:eastAsia="华文楷体" w:cs="华文楷体"/>
                <w:kern w:val="2"/>
                <w:sz w:val="24"/>
                <w:szCs w:val="24"/>
              </w:rPr>
              <w:t>质量承诺</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2318"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华文楷体" w:hAnsi="华文楷体" w:eastAsia="华文楷体" w:cs="华文楷体"/>
                <w:kern w:val="2"/>
                <w:sz w:val="24"/>
                <w:szCs w:val="24"/>
              </w:rPr>
            </w:pPr>
            <w:r>
              <w:rPr>
                <w:rFonts w:hint="eastAsia" w:ascii="华文楷体" w:hAnsi="华文楷体" w:eastAsia="华文楷体" w:cs="华文楷体"/>
                <w:kern w:val="2"/>
                <w:sz w:val="24"/>
                <w:szCs w:val="24"/>
              </w:rPr>
              <w:t>备注</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p>
        </w:tc>
      </w:tr>
    </w:tbl>
    <w:p>
      <w:pPr>
        <w:widowControl w:val="0"/>
        <w:spacing w:line="420" w:lineRule="exact"/>
        <w:ind w:right="-309" w:rightChars="-147"/>
        <w:rPr>
          <w:rFonts w:hint="eastAsia" w:ascii="华文楷体" w:hAnsi="华文楷体" w:eastAsia="华文楷体" w:cs="华文楷体"/>
          <w:sz w:val="28"/>
          <w:szCs w:val="28"/>
        </w:rPr>
      </w:pPr>
    </w:p>
    <w:p>
      <w:pPr>
        <w:widowControl w:val="0"/>
        <w:spacing w:line="600" w:lineRule="atLeast"/>
        <w:rPr>
          <w:rFonts w:hint="eastAsia" w:ascii="华文楷体" w:hAnsi="华文楷体" w:eastAsia="华文楷体" w:cs="华文楷体"/>
          <w:sz w:val="28"/>
          <w:szCs w:val="28"/>
        </w:rPr>
      </w:pPr>
    </w:p>
    <w:p>
      <w:pPr>
        <w:widowControl w:val="0"/>
        <w:spacing w:line="360" w:lineRule="auto"/>
        <w:ind w:firstLine="1440" w:firstLineChars="600"/>
        <w:rPr>
          <w:rFonts w:hint="eastAsia" w:ascii="华文楷体" w:hAnsi="华文楷体" w:eastAsia="华文楷体" w:cs="华文楷体"/>
          <w:sz w:val="24"/>
        </w:rPr>
      </w:pPr>
      <w:r>
        <w:rPr>
          <w:rFonts w:hint="eastAsia" w:ascii="华文楷体" w:hAnsi="华文楷体" w:eastAsia="华文楷体" w:cs="华文楷体"/>
          <w:sz w:val="24"/>
        </w:rPr>
        <w:t>供应商：</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（盖单位公章）</w:t>
      </w:r>
    </w:p>
    <w:p>
      <w:pPr>
        <w:widowControl w:val="0"/>
        <w:spacing w:line="360" w:lineRule="auto"/>
        <w:ind w:firstLine="2" w:firstLineChars="1"/>
        <w:rPr>
          <w:rFonts w:hint="eastAsia" w:ascii="华文楷体" w:hAnsi="华文楷体" w:eastAsia="华文楷体" w:cs="华文楷体"/>
          <w:kern w:val="2"/>
          <w:sz w:val="24"/>
        </w:rPr>
      </w:pPr>
    </w:p>
    <w:p>
      <w:pPr>
        <w:widowControl w:val="0"/>
        <w:spacing w:line="360" w:lineRule="auto"/>
        <w:ind w:firstLine="1440" w:firstLineChars="600"/>
        <w:rPr>
          <w:rFonts w:hint="eastAsia" w:ascii="华文楷体" w:hAnsi="华文楷体" w:eastAsia="华文楷体" w:cs="华文楷体"/>
          <w:sz w:val="24"/>
        </w:rPr>
      </w:pPr>
      <w:r>
        <w:rPr>
          <w:rFonts w:hint="eastAsia" w:ascii="华文楷体" w:hAnsi="华文楷体" w:eastAsia="华文楷体" w:cs="华文楷体"/>
          <w:sz w:val="24"/>
        </w:rPr>
        <w:t>法定代表人或其委托代理人：</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（签字或盖章）</w:t>
      </w:r>
    </w:p>
    <w:p>
      <w:pPr>
        <w:widowControl w:val="0"/>
        <w:spacing w:line="360" w:lineRule="auto"/>
        <w:ind w:firstLine="2" w:firstLineChars="1"/>
        <w:rPr>
          <w:rFonts w:hint="eastAsia" w:ascii="华文楷体" w:hAnsi="华文楷体" w:eastAsia="华文楷体" w:cs="华文楷体"/>
          <w:sz w:val="24"/>
        </w:rPr>
      </w:pPr>
    </w:p>
    <w:p>
      <w:pPr>
        <w:widowControl w:val="0"/>
        <w:spacing w:line="360" w:lineRule="auto"/>
        <w:ind w:firstLine="4080" w:firstLineChars="1700"/>
        <w:rPr>
          <w:rFonts w:hint="eastAsia" w:ascii="华文楷体" w:hAnsi="华文楷体" w:eastAsia="华文楷体" w:cs="华文楷体"/>
          <w:sz w:val="24"/>
        </w:rPr>
      </w:pP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年</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月</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8" w:name="_Toc18551"/>
      <w:bookmarkStart w:id="29" w:name="_Toc15843"/>
      <w:r>
        <w:rPr>
          <w:rFonts w:hint="eastAsia" w:ascii="华文楷体" w:hAnsi="华文楷体" w:eastAsia="华文楷体" w:cs="华文楷体"/>
          <w:color w:val="FF0000"/>
          <w:sz w:val="32"/>
          <w:szCs w:val="32"/>
          <w:lang w:val="en-US" w:eastAsia="zh-CN"/>
        </w:rPr>
        <w:t>二、响应函</w:t>
      </w:r>
      <w:bookmarkEnd w:id="28"/>
      <w:bookmarkEnd w:id="29"/>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安宁市医疗共同体 </w:t>
      </w:r>
    </w:p>
    <w:p>
      <w:pPr>
        <w:keepNext w:val="0"/>
        <w:keepLines w:val="0"/>
        <w:pageBreakBefore w:val="0"/>
        <w:widowControl w:val="0"/>
        <w:kinsoku/>
        <w:wordWrap w:val="0"/>
        <w:overflowPunct/>
        <w:topLinePunct w:val="0"/>
        <w:autoSpaceDE/>
        <w:autoSpaceDN/>
        <w:bidi w:val="0"/>
        <w:adjustRightInd/>
        <w:snapToGrid/>
        <w:spacing w:line="240" w:lineRule="auto"/>
        <w:ind w:left="0" w:hanging="220" w:hangingChars="100"/>
        <w:jc w:val="left"/>
        <w:textAlignment w:val="auto"/>
        <w:outlineLvl w:val="0"/>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 xml:space="preserve">       </w:t>
      </w:r>
      <w:bookmarkStart w:id="30" w:name="_Toc23057"/>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安宁市医疗共同体合理用药知识库及数据更新服务购置项目（2024-2025年度）</w:t>
      </w:r>
      <w:r>
        <w:rPr>
          <w:rFonts w:hint="eastAsia" w:ascii="华文楷体" w:hAnsi="华文楷体" w:eastAsia="华文楷体" w:cs="华文楷体"/>
          <w:sz w:val="22"/>
          <w:szCs w:val="22"/>
          <w:u w:val="single"/>
          <w:lang w:val="en-US" w:eastAsia="zh-CN"/>
        </w:rPr>
        <w:t>（采购编号： ANYGT-YNTP-2024N56）</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bookmarkEnd w:id="30"/>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，完成本项目服务。</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bookmarkStart w:id="31" w:name="_Toc8519"/>
      <w:bookmarkStart w:id="32" w:name="_Toc25991"/>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三、项目采购需求偏离表</w:t>
      </w:r>
      <w:bookmarkEnd w:id="31"/>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安宁市医疗共同体合理用药知识库及数据更新服务购置项目（2024-2025年度）</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采购需求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响应产品/服务技术参数及配置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3" w:name="_Toc493600038"/>
      <w:bookmarkStart w:id="34" w:name="_Toc13398"/>
      <w:bookmarkStart w:id="35" w:name="_Toc87445179"/>
      <w:bookmarkStart w:id="36" w:name="_Toc15014"/>
      <w:bookmarkStart w:id="37" w:name="_Toc389130506"/>
      <w:bookmarkStart w:id="38" w:name="_Toc10217844"/>
      <w:bookmarkStart w:id="39" w:name="_Toc20950"/>
      <w:bookmarkStart w:id="40" w:name="_Toc351391183"/>
      <w:bookmarkStart w:id="41" w:name="_Toc205269530"/>
      <w:r>
        <w:rPr>
          <w:rFonts w:hint="eastAsia" w:ascii="华文楷体" w:hAnsi="华文楷体" w:eastAsia="华文楷体" w:cs="华文楷体"/>
          <w:b/>
          <w:color w:val="FF0000"/>
          <w:kern w:val="0"/>
          <w:sz w:val="32"/>
          <w:szCs w:val="32"/>
          <w:lang w:val="zh-CN" w:eastAsia="zh-CN" w:bidi="ar-SA"/>
        </w:rPr>
        <w:t>四、响应人信息表</w:t>
      </w:r>
      <w:bookmarkEnd w:id="33"/>
      <w:bookmarkEnd w:id="34"/>
      <w:bookmarkEnd w:id="35"/>
      <w:bookmarkEnd w:id="36"/>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2" w:name="OLE_LINK22"/>
            <w:bookmarkStart w:id="43"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2"/>
            <w:bookmarkEnd w:id="43"/>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4" w:name="_Toc20408"/>
      <w:r>
        <w:rPr>
          <w:rFonts w:hint="eastAsia" w:ascii="华文楷体" w:hAnsi="华文楷体" w:eastAsia="华文楷体" w:cs="华文楷体"/>
          <w:color w:val="FF0000"/>
          <w:sz w:val="32"/>
          <w:szCs w:val="32"/>
          <w:lang w:val="en-US" w:eastAsia="zh-CN"/>
        </w:rPr>
        <w:t>五、法定代表人(负责人)身份证明书</w:t>
      </w:r>
      <w:bookmarkEnd w:id="37"/>
      <w:bookmarkEnd w:id="38"/>
      <w:bookmarkEnd w:id="39"/>
      <w:bookmarkEnd w:id="40"/>
      <w:bookmarkEnd w:id="41"/>
      <w:bookmarkEnd w:id="44"/>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5" w:name="_Toc21393"/>
      <w:bookmarkStart w:id="46" w:name="_Toc10624"/>
      <w:r>
        <w:rPr>
          <w:rFonts w:hint="eastAsia" w:ascii="华文楷体" w:hAnsi="华文楷体" w:eastAsia="华文楷体" w:cs="华文楷体"/>
          <w:b/>
          <w:color w:val="FF0000"/>
          <w:kern w:val="0"/>
          <w:sz w:val="32"/>
          <w:szCs w:val="32"/>
          <w:lang w:val="en-US" w:eastAsia="zh-CN" w:bidi="ar-SA"/>
        </w:rPr>
        <w:t>六、法定代表人（负责人）授权委托书</w:t>
      </w:r>
      <w:bookmarkEnd w:id="45"/>
      <w:bookmarkEnd w:id="46"/>
    </w:p>
    <w:p>
      <w:pPr>
        <w:keepNext w:val="0"/>
        <w:keepLines w:val="0"/>
        <w:pageBreakBefore w:val="0"/>
        <w:widowControl w:val="0"/>
        <w:wordWrap/>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Style w:val="10"/>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安宁市医疗共同体合理用药知识库及数据更新服务购置项目（2024-2025年度）</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7" w:name="_Toc22749"/>
      <w:r>
        <w:rPr>
          <w:rFonts w:hint="eastAsia" w:ascii="华文楷体" w:hAnsi="华文楷体" w:eastAsia="华文楷体" w:cs="华文楷体"/>
          <w:b/>
          <w:color w:val="FF0000"/>
          <w:kern w:val="0"/>
          <w:sz w:val="32"/>
          <w:szCs w:val="32"/>
          <w:lang w:val="en-US" w:eastAsia="zh-CN" w:bidi="ar-SA"/>
        </w:rPr>
        <w:t>七、质量保证书</w:t>
      </w:r>
      <w:bookmarkEnd w:id="47"/>
    </w:p>
    <w:p>
      <w:pPr>
        <w:pStyle w:val="10"/>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安宁市医疗共同体</w:t>
      </w:r>
    </w:p>
    <w:p>
      <w:pPr>
        <w:pStyle w:val="10"/>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安宁市医疗共同体合理用药知识库及数据更新服务购置项目（2024-2025年度）</w:t>
      </w:r>
      <w:r>
        <w:rPr>
          <w:rFonts w:hint="eastAsia" w:ascii="华文楷体" w:hAnsi="华文楷体" w:eastAsia="华文楷体" w:cs="华文楷体"/>
          <w:sz w:val="24"/>
          <w:szCs w:val="24"/>
          <w:u w:val="single"/>
        </w:rPr>
        <w:t>（项目编号：</w:t>
      </w:r>
      <w:r>
        <w:rPr>
          <w:rFonts w:hint="eastAsia" w:ascii="华文楷体" w:hAnsi="华文楷体" w:eastAsia="华文楷体" w:cs="华文楷体"/>
          <w:sz w:val="24"/>
          <w:szCs w:val="24"/>
          <w:u w:val="single"/>
          <w:lang w:val="en-US" w:eastAsia="zh-CN"/>
        </w:rPr>
        <w:t>ANYGT-YNTP-2024N56)</w:t>
      </w:r>
      <w:r>
        <w:rPr>
          <w:rFonts w:hint="eastAsia" w:ascii="华文楷体" w:hAnsi="华文楷体" w:eastAsia="华文楷体" w:cs="华文楷体"/>
          <w:color w:val="000000"/>
          <w:sz w:val="24"/>
          <w:szCs w:val="24"/>
          <w:highlight w:val="none"/>
        </w:rPr>
        <w:t>提供的质量保证证明。</w:t>
      </w:r>
    </w:p>
    <w:p>
      <w:pPr>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15767"/>
      <w:r>
        <w:rPr>
          <w:rFonts w:hint="eastAsia" w:ascii="华文楷体" w:hAnsi="华文楷体" w:eastAsia="华文楷体" w:cs="华文楷体"/>
          <w:b/>
          <w:color w:val="FF0000"/>
          <w:kern w:val="0"/>
          <w:sz w:val="32"/>
          <w:szCs w:val="32"/>
          <w:lang w:val="en-US" w:eastAsia="zh-CN" w:bidi="ar-SA"/>
        </w:rPr>
        <w:t>八、经销商资质文件</w:t>
      </w:r>
      <w:bookmarkEnd w:id="48"/>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软件著作权证书。属于第三类医疗器械的需提供医疗器械经营许可证，属于第二类医疗器械的需提供备案证，进口产品须有相应授权。说明：经销商资质文件为实质性要求，未提供或提供不全将不通过资格审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9" w:name="_Toc31786"/>
      <w:r>
        <w:rPr>
          <w:rFonts w:hint="eastAsia" w:ascii="华文楷体" w:hAnsi="华文楷体" w:eastAsia="华文楷体" w:cs="华文楷体"/>
          <w:b/>
          <w:color w:val="FF0000"/>
          <w:kern w:val="0"/>
          <w:sz w:val="32"/>
          <w:szCs w:val="32"/>
          <w:lang w:val="en-US" w:eastAsia="zh-CN" w:bidi="ar-SA"/>
        </w:rPr>
        <w:t>九、产品技术资料</w:t>
      </w:r>
      <w:bookmarkEnd w:id="49"/>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bookmarkEnd w:id="32"/>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50" w:name="_Toc2790"/>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ind w:firstLine="2883" w:firstLineChars="9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51" w:name="_Toc27293"/>
      <w:r>
        <w:rPr>
          <w:rFonts w:hint="eastAsia" w:ascii="华文楷体" w:hAnsi="华文楷体" w:eastAsia="华文楷体" w:cs="华文楷体"/>
          <w:b/>
          <w:color w:val="FF0000"/>
          <w:kern w:val="0"/>
          <w:sz w:val="32"/>
          <w:szCs w:val="32"/>
          <w:lang w:val="en-US" w:eastAsia="zh-CN" w:bidi="ar-SA"/>
        </w:rPr>
        <w:t>十、服务方案</w:t>
      </w:r>
      <w:bookmarkEnd w:id="50"/>
      <w:bookmarkEnd w:id="51"/>
    </w:p>
    <w:p>
      <w:pPr>
        <w:keepLines w:val="0"/>
        <w:pageBreakBefore w:val="0"/>
        <w:widowControl w:val="0"/>
        <w:kinsoku/>
        <w:wordWrap/>
        <w:overflowPunct/>
        <w:topLinePunct w:val="0"/>
        <w:autoSpaceDE/>
        <w:autoSpaceDN/>
        <w:bidi w:val="0"/>
        <w:snapToGrid/>
        <w:spacing w:line="560" w:lineRule="exact"/>
        <w:ind w:firstLine="2640" w:firstLineChars="1100"/>
        <w:jc w:val="left"/>
        <w:rPr>
          <w:rFonts w:hint="eastAsia" w:ascii="华文楷体" w:hAnsi="华文楷体" w:eastAsia="华文楷体" w:cs="华文楷体"/>
          <w:b w:val="0"/>
          <w:bCs w:val="0"/>
          <w:kern w:val="2"/>
          <w:sz w:val="24"/>
          <w:szCs w:val="24"/>
          <w:u w:val="none"/>
          <w:lang w:val="en-US" w:eastAsia="zh-CN" w:bidi="ar-SA"/>
        </w:rPr>
      </w:pPr>
      <w:bookmarkStart w:id="63" w:name="_GoBack"/>
      <w:bookmarkEnd w:id="63"/>
      <w:r>
        <w:rPr>
          <w:rFonts w:hint="eastAsia" w:ascii="华文楷体" w:hAnsi="华文楷体" w:eastAsia="华文楷体" w:cs="华文楷体"/>
          <w:b w:val="0"/>
          <w:bCs w:val="0"/>
          <w:kern w:val="2"/>
          <w:sz w:val="24"/>
          <w:szCs w:val="24"/>
          <w:u w:val="none"/>
          <w:lang w:val="en-US" w:eastAsia="zh-CN" w:bidi="ar-SA"/>
        </w:rPr>
        <w:t>（结合评分标准，格式自拟）</w:t>
      </w: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2" w:name="_Toc3952"/>
      <w:bookmarkStart w:id="53" w:name="_Toc14865"/>
      <w:r>
        <w:rPr>
          <w:rFonts w:hint="eastAsia" w:ascii="华文楷体" w:hAnsi="华文楷体" w:eastAsia="华文楷体" w:cs="华文楷体"/>
          <w:b/>
          <w:color w:val="FF0000"/>
          <w:kern w:val="0"/>
          <w:sz w:val="32"/>
          <w:szCs w:val="32"/>
          <w:lang w:val="en-US" w:eastAsia="zh-CN" w:bidi="ar-SA"/>
        </w:rPr>
        <w:t>十一、业绩</w:t>
      </w:r>
      <w:bookmarkEnd w:id="52"/>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720" w:firstLineChars="3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Cs/>
          <w:color w:val="auto"/>
          <w:sz w:val="24"/>
          <w:szCs w:val="24"/>
          <w:highlight w:val="none"/>
          <w:u w:val="none"/>
          <w:lang w:val="en-US" w:eastAsia="zh-CN"/>
        </w:rPr>
        <w:t>提供2021年6月1日至今具有类似项目业绩，每提供一个有效业绩得2分，满分10分。（有效业绩需提供中标通知书或合同扫描件，中标通知书或合同扫描件中的单价、金额等关键信息不得涂盖，有效业绩必须是谈判申请人（本公司）与本项目服务内容相同的业绩）</w:t>
      </w: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snapToGrid/>
        <w:spacing w:line="560" w:lineRule="exact"/>
        <w:jc w:val="both"/>
        <w:outlineLvl w:val="0"/>
        <w:rPr>
          <w:rFonts w:hint="eastAsia" w:ascii="华文楷体" w:hAnsi="华文楷体" w:eastAsia="华文楷体" w:cs="华文楷体"/>
          <w:b/>
          <w:color w:val="FF0000"/>
          <w:kern w:val="0"/>
          <w:sz w:val="32"/>
          <w:szCs w:val="32"/>
          <w:lang w:val="en-US" w:eastAsia="zh-CN" w:bidi="ar-SA"/>
        </w:rPr>
      </w:pPr>
    </w:p>
    <w:p>
      <w:pPr>
        <w:rPr>
          <w:rFonts w:hint="eastAsia" w:ascii="华文楷体" w:hAnsi="华文楷体" w:eastAsia="华文楷体" w:cs="华文楷体"/>
          <w:b/>
          <w:color w:val="FF0000"/>
          <w:kern w:val="0"/>
          <w:sz w:val="32"/>
          <w:szCs w:val="32"/>
          <w:lang w:val="en-US" w:eastAsia="zh-CN" w:bidi="ar-SA"/>
        </w:rPr>
      </w:pPr>
    </w:p>
    <w:p>
      <w:pPr>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snapToGrid/>
        <w:spacing w:line="560" w:lineRule="exact"/>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bookmarkStart w:id="54" w:name="_Toc17508"/>
      <w:r>
        <w:rPr>
          <w:rFonts w:hint="eastAsia" w:ascii="华文楷体" w:hAnsi="华文楷体" w:eastAsia="华文楷体" w:cs="华文楷体"/>
          <w:b/>
          <w:color w:val="FF0000"/>
          <w:kern w:val="0"/>
          <w:sz w:val="32"/>
          <w:szCs w:val="32"/>
          <w:lang w:val="en-US" w:eastAsia="zh-CN" w:bidi="ar-SA"/>
        </w:rPr>
        <w:t>十二、响应人认为有必要提供的其他文件</w:t>
      </w:r>
      <w:bookmarkEnd w:id="53"/>
      <w:bookmarkEnd w:id="54"/>
    </w:p>
    <w:p>
      <w:pPr>
        <w:keepNext w:val="0"/>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十三：二次报价承诺书</w:t>
      </w:r>
    </w:p>
    <w:p>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同开标一览表填写完整，最终投标报价栏空白，不需装订在响应文件里，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后带到谈判现场谈判结束后再填写最终投标报价！）</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5" w:name="_Toc26533"/>
      <w:bookmarkStart w:id="56" w:name="_Toc7590"/>
      <w:bookmarkStart w:id="57" w:name="_Toc23910"/>
      <w:bookmarkStart w:id="58" w:name="_Toc19048"/>
      <w:bookmarkStart w:id="59" w:name="_Toc25364"/>
      <w:bookmarkStart w:id="60" w:name="_Toc5152"/>
      <w:bookmarkStart w:id="61" w:name="_Toc8055"/>
      <w:bookmarkStart w:id="62" w:name="_Toc8054"/>
      <w:r>
        <w:rPr>
          <w:rFonts w:hint="eastAsia" w:ascii="华文楷体" w:hAnsi="华文楷体" w:eastAsia="华文楷体" w:cs="华文楷体"/>
          <w:b/>
          <w:bCs/>
          <w:sz w:val="28"/>
          <w:szCs w:val="28"/>
        </w:rPr>
        <w:t>致：</w:t>
      </w:r>
      <w:bookmarkEnd w:id="55"/>
      <w:bookmarkEnd w:id="56"/>
      <w:r>
        <w:rPr>
          <w:rFonts w:hint="eastAsia" w:ascii="华文楷体" w:hAnsi="华文楷体" w:eastAsia="华文楷体" w:cs="华文楷体"/>
          <w:b/>
          <w:bCs/>
          <w:sz w:val="28"/>
          <w:szCs w:val="28"/>
          <w:u w:val="single"/>
          <w:lang w:eastAsia="zh-CN"/>
        </w:rPr>
        <w:t>安宁市</w:t>
      </w:r>
      <w:bookmarkEnd w:id="57"/>
      <w:bookmarkEnd w:id="58"/>
      <w:bookmarkEnd w:id="59"/>
      <w:bookmarkEnd w:id="60"/>
      <w:bookmarkEnd w:id="61"/>
      <w:r>
        <w:rPr>
          <w:rFonts w:hint="eastAsia" w:ascii="华文楷体" w:hAnsi="华文楷体" w:eastAsia="华文楷体" w:cs="华文楷体"/>
          <w:b/>
          <w:bCs/>
          <w:sz w:val="28"/>
          <w:szCs w:val="28"/>
          <w:u w:val="single"/>
          <w:lang w:eastAsia="zh-CN"/>
        </w:rPr>
        <w:t>医疗共同体</w:t>
      </w:r>
      <w:bookmarkEnd w:id="62"/>
    </w:p>
    <w:p>
      <w:pPr>
        <w:pStyle w:val="8"/>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sz w:val="24"/>
          <w:szCs w:val="24"/>
          <w:u w:val="single"/>
          <w:lang w:val="en-US" w:eastAsia="zh-CN"/>
        </w:rPr>
        <w:t>安宁市医疗共同体合理用药知识库及数据更新服务购置项目（2024-2025年度）</w:t>
      </w:r>
      <w:r>
        <w:rPr>
          <w:rFonts w:hint="eastAsia" w:ascii="华文楷体" w:hAnsi="华文楷体" w:eastAsia="华文楷体" w:cs="华文楷体"/>
          <w:color w:val="auto"/>
          <w:sz w:val="24"/>
          <w:szCs w:val="24"/>
          <w:highlight w:val="none"/>
          <w:u w:val="none"/>
          <w:lang w:val="en-US" w:eastAsia="zh-CN"/>
        </w:rPr>
        <w:t>的</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p>
      <w:pPr>
        <w:spacing w:line="360" w:lineRule="auto"/>
        <w:jc w:val="both"/>
        <w:rPr>
          <w:rFonts w:hint="eastAsia" w:ascii="华文楷体" w:hAnsi="华文楷体" w:eastAsia="华文楷体" w:cs="华文楷体"/>
          <w:sz w:val="24"/>
          <w:szCs w:val="24"/>
          <w:lang w:val="en-US" w:eastAsia="zh-CN"/>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8"/>
        <w:gridCol w:w="6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jc w:val="center"/>
        </w:trPr>
        <w:tc>
          <w:tcPr>
            <w:tcW w:w="2318" w:type="dxa"/>
            <w:vMerge w:val="restart"/>
            <w:tcBorders>
              <w:top w:val="single" w:color="auto" w:sz="4" w:space="0"/>
              <w:left w:val="single" w:color="auto" w:sz="4" w:space="0"/>
              <w:right w:val="single" w:color="auto" w:sz="4" w:space="0"/>
            </w:tcBorders>
            <w:noWrap w:val="0"/>
            <w:vAlign w:val="center"/>
          </w:tcPr>
          <w:p>
            <w:pPr>
              <w:widowControl w:val="0"/>
              <w:spacing w:line="360" w:lineRule="auto"/>
              <w:jc w:val="center"/>
              <w:rPr>
                <w:rFonts w:hint="eastAsia" w:ascii="华文楷体" w:hAnsi="华文楷体" w:eastAsia="华文楷体" w:cs="华文楷体"/>
                <w:bCs/>
                <w:sz w:val="24"/>
              </w:rPr>
            </w:pPr>
            <w:r>
              <w:rPr>
                <w:rFonts w:hint="eastAsia" w:ascii="华文楷体" w:hAnsi="华文楷体" w:eastAsia="华文楷体" w:cs="华文楷体"/>
                <w:bCs/>
                <w:sz w:val="24"/>
              </w:rPr>
              <w:t>响应报价（元</w:t>
            </w:r>
            <w:r>
              <w:rPr>
                <w:rFonts w:hint="eastAsia" w:ascii="华文楷体" w:hAnsi="华文楷体" w:eastAsia="华文楷体" w:cs="华文楷体"/>
                <w:bCs/>
                <w:sz w:val="24"/>
                <w:lang w:val="en-US" w:eastAsia="zh-CN"/>
              </w:rPr>
              <w:t>/年</w:t>
            </w:r>
            <w:r>
              <w:rPr>
                <w:rFonts w:hint="eastAsia" w:ascii="华文楷体" w:hAnsi="华文楷体" w:eastAsia="华文楷体" w:cs="华文楷体"/>
                <w:bCs/>
                <w:sz w:val="24"/>
              </w:rPr>
              <w:t>）</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安宁市第一人民医院：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jc w:val="center"/>
        </w:trPr>
        <w:tc>
          <w:tcPr>
            <w:tcW w:w="2318" w:type="dxa"/>
            <w:vMerge w:val="continue"/>
            <w:tcBorders>
              <w:left w:val="single" w:color="auto" w:sz="4" w:space="0"/>
              <w:right w:val="single" w:color="auto" w:sz="4" w:space="0"/>
            </w:tcBorders>
            <w:noWrap w:val="0"/>
            <w:vAlign w:val="center"/>
          </w:tcPr>
          <w:p>
            <w:pPr>
              <w:widowControl w:val="0"/>
              <w:spacing w:line="360" w:lineRule="auto"/>
              <w:jc w:val="center"/>
              <w:rPr>
                <w:rFonts w:hint="eastAsia" w:ascii="华文楷体" w:hAnsi="华文楷体" w:eastAsia="华文楷体" w:cs="华文楷体"/>
                <w:bCs/>
                <w:sz w:val="24"/>
              </w:rPr>
            </w:pP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r>
              <w:rPr>
                <w:rFonts w:hint="eastAsia" w:ascii="华文楷体" w:hAnsi="华文楷体" w:eastAsia="华文楷体" w:cs="华文楷体"/>
                <w:sz w:val="24"/>
                <w:lang w:eastAsia="zh-CN"/>
              </w:rPr>
              <w:t>安宁市中医医院：</w:t>
            </w:r>
            <w:r>
              <w:rPr>
                <w:rFonts w:hint="eastAsia" w:ascii="华文楷体" w:hAnsi="华文楷体" w:eastAsia="华文楷体" w:cs="华文楷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2318" w:type="dxa"/>
            <w:vMerge w:val="continue"/>
            <w:tcBorders>
              <w:left w:val="single" w:color="auto" w:sz="4" w:space="0"/>
              <w:bottom w:val="single" w:color="auto" w:sz="4" w:space="0"/>
              <w:right w:val="single" w:color="auto" w:sz="4" w:space="0"/>
            </w:tcBorders>
            <w:noWrap w:val="0"/>
            <w:vAlign w:val="center"/>
          </w:tcPr>
          <w:p>
            <w:pPr>
              <w:widowControl w:val="0"/>
              <w:spacing w:line="360" w:lineRule="auto"/>
              <w:ind w:firstLine="2" w:firstLineChars="1"/>
              <w:jc w:val="center"/>
              <w:rPr>
                <w:rFonts w:hint="eastAsia" w:ascii="华文楷体" w:hAnsi="华文楷体" w:eastAsia="华文楷体" w:cs="华文楷体"/>
                <w:bCs/>
                <w:sz w:val="24"/>
              </w:rPr>
            </w:pP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2318"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ind w:firstLine="2" w:firstLineChars="1"/>
              <w:jc w:val="center"/>
              <w:rPr>
                <w:rFonts w:hint="eastAsia" w:ascii="华文楷体" w:hAnsi="华文楷体" w:eastAsia="华文楷体" w:cs="华文楷体"/>
                <w:bCs/>
                <w:sz w:val="24"/>
              </w:rPr>
            </w:pPr>
            <w:r>
              <w:rPr>
                <w:rFonts w:hint="eastAsia" w:ascii="华文楷体" w:hAnsi="华文楷体" w:eastAsia="华文楷体" w:cs="华文楷体"/>
                <w:bCs/>
                <w:sz w:val="24"/>
              </w:rPr>
              <w:t>合同履行期限</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2318"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华文楷体" w:hAnsi="华文楷体" w:eastAsia="华文楷体" w:cs="华文楷体"/>
                <w:kern w:val="2"/>
                <w:sz w:val="24"/>
                <w:szCs w:val="24"/>
              </w:rPr>
            </w:pPr>
            <w:r>
              <w:rPr>
                <w:rFonts w:hint="eastAsia" w:ascii="华文楷体" w:hAnsi="华文楷体" w:eastAsia="华文楷体" w:cs="华文楷体"/>
                <w:kern w:val="2"/>
                <w:sz w:val="24"/>
                <w:szCs w:val="24"/>
              </w:rPr>
              <w:t>质量承诺</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2318"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华文楷体" w:hAnsi="华文楷体" w:eastAsia="华文楷体" w:cs="华文楷体"/>
                <w:kern w:val="2"/>
                <w:sz w:val="24"/>
                <w:szCs w:val="24"/>
              </w:rPr>
            </w:pPr>
            <w:r>
              <w:rPr>
                <w:rFonts w:hint="eastAsia" w:ascii="华文楷体" w:hAnsi="华文楷体" w:eastAsia="华文楷体" w:cs="华文楷体"/>
                <w:kern w:val="2"/>
                <w:sz w:val="24"/>
                <w:szCs w:val="24"/>
              </w:rPr>
              <w:t>备注</w:t>
            </w:r>
          </w:p>
        </w:tc>
        <w:tc>
          <w:tcPr>
            <w:tcW w:w="620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rPr>
                <w:rFonts w:hint="eastAsia" w:ascii="华文楷体" w:hAnsi="华文楷体" w:eastAsia="华文楷体" w:cs="华文楷体"/>
                <w:sz w:val="24"/>
              </w:rPr>
            </w:pPr>
          </w:p>
        </w:tc>
      </w:tr>
    </w:tbl>
    <w:p>
      <w:pPr>
        <w:widowControl w:val="0"/>
        <w:spacing w:line="360" w:lineRule="auto"/>
        <w:rPr>
          <w:rFonts w:hint="eastAsia" w:ascii="华文楷体" w:hAnsi="华文楷体" w:eastAsia="华文楷体" w:cs="华文楷体"/>
          <w:sz w:val="24"/>
        </w:rPr>
      </w:pPr>
    </w:p>
    <w:p>
      <w:pPr>
        <w:widowControl w:val="0"/>
        <w:spacing w:line="360" w:lineRule="auto"/>
        <w:ind w:firstLine="1440" w:firstLineChars="600"/>
        <w:rPr>
          <w:rFonts w:hint="eastAsia" w:ascii="华文楷体" w:hAnsi="华文楷体" w:eastAsia="华文楷体" w:cs="华文楷体"/>
          <w:kern w:val="2"/>
          <w:sz w:val="24"/>
        </w:rPr>
      </w:pPr>
      <w:r>
        <w:rPr>
          <w:rFonts w:hint="eastAsia" w:ascii="华文楷体" w:hAnsi="华文楷体" w:eastAsia="华文楷体" w:cs="华文楷体"/>
          <w:sz w:val="24"/>
        </w:rPr>
        <w:t>供应商：</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（盖单位公章）</w:t>
      </w:r>
    </w:p>
    <w:p>
      <w:pPr>
        <w:widowControl w:val="0"/>
        <w:spacing w:line="360" w:lineRule="auto"/>
        <w:ind w:firstLine="1440" w:firstLineChars="600"/>
        <w:rPr>
          <w:rFonts w:hint="eastAsia" w:ascii="华文楷体" w:hAnsi="华文楷体" w:eastAsia="华文楷体" w:cs="华文楷体"/>
          <w:sz w:val="24"/>
        </w:rPr>
      </w:pPr>
      <w:r>
        <w:rPr>
          <w:rFonts w:hint="eastAsia" w:ascii="华文楷体" w:hAnsi="华文楷体" w:eastAsia="华文楷体" w:cs="华文楷体"/>
          <w:sz w:val="24"/>
        </w:rPr>
        <w:t>法定代表人或其委托代理人：</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（签字或盖章）</w:t>
      </w:r>
    </w:p>
    <w:p>
      <w:pPr>
        <w:widowControl w:val="0"/>
        <w:spacing w:line="360" w:lineRule="auto"/>
        <w:ind w:firstLine="4080" w:firstLineChars="1700"/>
        <w:rPr>
          <w:rFonts w:hint="eastAsia" w:ascii="华文楷体" w:hAnsi="华文楷体" w:eastAsia="华文楷体" w:cs="华文楷体"/>
          <w:sz w:val="24"/>
        </w:rPr>
      </w:pP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年</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月</w:t>
      </w:r>
      <w:r>
        <w:rPr>
          <w:rFonts w:hint="eastAsia" w:ascii="华文楷体" w:hAnsi="华文楷体" w:eastAsia="华文楷体" w:cs="华文楷体"/>
          <w:sz w:val="24"/>
          <w:u w:val="single"/>
        </w:rPr>
        <w:t xml:space="preserve">       </w:t>
      </w:r>
      <w:r>
        <w:rPr>
          <w:rFonts w:hint="eastAsia" w:ascii="华文楷体" w:hAnsi="华文楷体" w:eastAsia="华文楷体" w:cs="华文楷体"/>
          <w:sz w:val="24"/>
        </w:rPr>
        <w:t>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华文楷体" w:hAnsi="华文楷体" w:eastAsia="华文楷体" w:cs="华文楷体"/>
          <w:b w:val="0"/>
          <w:bCs w:val="0"/>
          <w:kern w:val="2"/>
          <w:sz w:val="24"/>
          <w:szCs w:val="24"/>
          <w:u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922D31"/>
    <w:rsid w:val="01475D04"/>
    <w:rsid w:val="01F52620"/>
    <w:rsid w:val="02834FF2"/>
    <w:rsid w:val="029321C1"/>
    <w:rsid w:val="02962EDE"/>
    <w:rsid w:val="03503D6C"/>
    <w:rsid w:val="037800D1"/>
    <w:rsid w:val="04322EB9"/>
    <w:rsid w:val="04347B65"/>
    <w:rsid w:val="043B7FCA"/>
    <w:rsid w:val="04E35A1E"/>
    <w:rsid w:val="061D614D"/>
    <w:rsid w:val="06B31420"/>
    <w:rsid w:val="07595313"/>
    <w:rsid w:val="07FD6DF7"/>
    <w:rsid w:val="08955C95"/>
    <w:rsid w:val="08AF1781"/>
    <w:rsid w:val="09670477"/>
    <w:rsid w:val="0AD61B81"/>
    <w:rsid w:val="0AD83203"/>
    <w:rsid w:val="0AF15004"/>
    <w:rsid w:val="0B752DD1"/>
    <w:rsid w:val="0BC60835"/>
    <w:rsid w:val="0BF75073"/>
    <w:rsid w:val="0D1A7E23"/>
    <w:rsid w:val="0E543FA7"/>
    <w:rsid w:val="0E6F197A"/>
    <w:rsid w:val="0F1E4AAF"/>
    <w:rsid w:val="1004704F"/>
    <w:rsid w:val="10762BDF"/>
    <w:rsid w:val="10BF2DE1"/>
    <w:rsid w:val="122009AF"/>
    <w:rsid w:val="12636977"/>
    <w:rsid w:val="12704669"/>
    <w:rsid w:val="1290609D"/>
    <w:rsid w:val="12B44329"/>
    <w:rsid w:val="12F13861"/>
    <w:rsid w:val="143A4F2F"/>
    <w:rsid w:val="144F2FB5"/>
    <w:rsid w:val="1513659E"/>
    <w:rsid w:val="155E1FBF"/>
    <w:rsid w:val="16FF4D96"/>
    <w:rsid w:val="17090292"/>
    <w:rsid w:val="17391B01"/>
    <w:rsid w:val="188B28E3"/>
    <w:rsid w:val="19017DC9"/>
    <w:rsid w:val="1A5225DD"/>
    <w:rsid w:val="1A5861A9"/>
    <w:rsid w:val="1AE30350"/>
    <w:rsid w:val="1B642891"/>
    <w:rsid w:val="1B932335"/>
    <w:rsid w:val="1BDD3C44"/>
    <w:rsid w:val="1C292AE4"/>
    <w:rsid w:val="1C5D582C"/>
    <w:rsid w:val="1D506B65"/>
    <w:rsid w:val="1DE27252"/>
    <w:rsid w:val="1EDB42F2"/>
    <w:rsid w:val="21750BB9"/>
    <w:rsid w:val="21B75E11"/>
    <w:rsid w:val="21D536EF"/>
    <w:rsid w:val="22210E0A"/>
    <w:rsid w:val="23480344"/>
    <w:rsid w:val="244E37D6"/>
    <w:rsid w:val="248A15BB"/>
    <w:rsid w:val="24E75EC4"/>
    <w:rsid w:val="24F20F0E"/>
    <w:rsid w:val="25041AEB"/>
    <w:rsid w:val="25257535"/>
    <w:rsid w:val="25794F64"/>
    <w:rsid w:val="25AF56A8"/>
    <w:rsid w:val="2602710D"/>
    <w:rsid w:val="269A360B"/>
    <w:rsid w:val="26C708A4"/>
    <w:rsid w:val="26E2013A"/>
    <w:rsid w:val="278C672D"/>
    <w:rsid w:val="280A2CD0"/>
    <w:rsid w:val="281B1F07"/>
    <w:rsid w:val="281D224A"/>
    <w:rsid w:val="28282E8D"/>
    <w:rsid w:val="28F65471"/>
    <w:rsid w:val="29374396"/>
    <w:rsid w:val="29A95915"/>
    <w:rsid w:val="2AA23D90"/>
    <w:rsid w:val="2AEB6BB7"/>
    <w:rsid w:val="2B63629F"/>
    <w:rsid w:val="2BC65440"/>
    <w:rsid w:val="2CB471D5"/>
    <w:rsid w:val="2DA21723"/>
    <w:rsid w:val="2E3F51C4"/>
    <w:rsid w:val="2EFC7E35"/>
    <w:rsid w:val="2F6E0835"/>
    <w:rsid w:val="313A6169"/>
    <w:rsid w:val="321E478D"/>
    <w:rsid w:val="32425718"/>
    <w:rsid w:val="329810D4"/>
    <w:rsid w:val="33C90985"/>
    <w:rsid w:val="34517B86"/>
    <w:rsid w:val="345873FE"/>
    <w:rsid w:val="35601B5C"/>
    <w:rsid w:val="35C247F2"/>
    <w:rsid w:val="35EA3309"/>
    <w:rsid w:val="36A4329F"/>
    <w:rsid w:val="37565737"/>
    <w:rsid w:val="38410DFC"/>
    <w:rsid w:val="38766AAA"/>
    <w:rsid w:val="38F00C52"/>
    <w:rsid w:val="39113C01"/>
    <w:rsid w:val="394E5ABB"/>
    <w:rsid w:val="39D22202"/>
    <w:rsid w:val="3A3A3D05"/>
    <w:rsid w:val="3ABE2AF5"/>
    <w:rsid w:val="3B0B77AD"/>
    <w:rsid w:val="3B30289A"/>
    <w:rsid w:val="3B7D557D"/>
    <w:rsid w:val="3BCB176B"/>
    <w:rsid w:val="3C2F0E1D"/>
    <w:rsid w:val="3D114B03"/>
    <w:rsid w:val="3DF5379A"/>
    <w:rsid w:val="3E0C3B84"/>
    <w:rsid w:val="3E4E4FAF"/>
    <w:rsid w:val="3E896745"/>
    <w:rsid w:val="3ECC77BE"/>
    <w:rsid w:val="3F4F5483"/>
    <w:rsid w:val="40296E63"/>
    <w:rsid w:val="402A0309"/>
    <w:rsid w:val="409F5F96"/>
    <w:rsid w:val="41106504"/>
    <w:rsid w:val="41953229"/>
    <w:rsid w:val="422034E7"/>
    <w:rsid w:val="426F4017"/>
    <w:rsid w:val="42AC236A"/>
    <w:rsid w:val="438D13C5"/>
    <w:rsid w:val="44241CD7"/>
    <w:rsid w:val="44676AFA"/>
    <w:rsid w:val="446F6C9C"/>
    <w:rsid w:val="44B66409"/>
    <w:rsid w:val="45680BAE"/>
    <w:rsid w:val="457277D5"/>
    <w:rsid w:val="4682613E"/>
    <w:rsid w:val="47513465"/>
    <w:rsid w:val="47F47107"/>
    <w:rsid w:val="48EC5ABB"/>
    <w:rsid w:val="49203136"/>
    <w:rsid w:val="49297CC8"/>
    <w:rsid w:val="49FB2F07"/>
    <w:rsid w:val="4A5A3051"/>
    <w:rsid w:val="4C3D15ED"/>
    <w:rsid w:val="4C7B213A"/>
    <w:rsid w:val="4CC41C4C"/>
    <w:rsid w:val="4CD55778"/>
    <w:rsid w:val="4DE45FCD"/>
    <w:rsid w:val="4DF84F0A"/>
    <w:rsid w:val="4DFA0CB0"/>
    <w:rsid w:val="4DFE254E"/>
    <w:rsid w:val="4E2E66ED"/>
    <w:rsid w:val="4EF14EB0"/>
    <w:rsid w:val="4EF63225"/>
    <w:rsid w:val="4FFF25C4"/>
    <w:rsid w:val="506D3DCA"/>
    <w:rsid w:val="50962F12"/>
    <w:rsid w:val="50B31D37"/>
    <w:rsid w:val="50BF5967"/>
    <w:rsid w:val="51807280"/>
    <w:rsid w:val="523B68B8"/>
    <w:rsid w:val="5244074B"/>
    <w:rsid w:val="524C082A"/>
    <w:rsid w:val="52B814BD"/>
    <w:rsid w:val="534053B7"/>
    <w:rsid w:val="53962548"/>
    <w:rsid w:val="53AD61F7"/>
    <w:rsid w:val="554636FD"/>
    <w:rsid w:val="5597442B"/>
    <w:rsid w:val="55F4336C"/>
    <w:rsid w:val="55FD6E7E"/>
    <w:rsid w:val="560E24E2"/>
    <w:rsid w:val="564839BD"/>
    <w:rsid w:val="58FE3FD3"/>
    <w:rsid w:val="593C217C"/>
    <w:rsid w:val="599F73C0"/>
    <w:rsid w:val="59A94439"/>
    <w:rsid w:val="5A643739"/>
    <w:rsid w:val="5A7600BD"/>
    <w:rsid w:val="5A8738CB"/>
    <w:rsid w:val="5AEE04A2"/>
    <w:rsid w:val="5AF2343A"/>
    <w:rsid w:val="5BCC36DC"/>
    <w:rsid w:val="5CA56C3B"/>
    <w:rsid w:val="5D47454B"/>
    <w:rsid w:val="5D67119D"/>
    <w:rsid w:val="5D8E4C63"/>
    <w:rsid w:val="5E4D2736"/>
    <w:rsid w:val="5EFC4888"/>
    <w:rsid w:val="5F3A78F3"/>
    <w:rsid w:val="5F4E3341"/>
    <w:rsid w:val="60250735"/>
    <w:rsid w:val="607C7F1A"/>
    <w:rsid w:val="60F905B4"/>
    <w:rsid w:val="612754C0"/>
    <w:rsid w:val="614E7532"/>
    <w:rsid w:val="61503641"/>
    <w:rsid w:val="6231187C"/>
    <w:rsid w:val="62782477"/>
    <w:rsid w:val="62D97D14"/>
    <w:rsid w:val="62DC4D1B"/>
    <w:rsid w:val="62E01DCA"/>
    <w:rsid w:val="63C35930"/>
    <w:rsid w:val="63E13A47"/>
    <w:rsid w:val="647E2B41"/>
    <w:rsid w:val="64D462AF"/>
    <w:rsid w:val="65216151"/>
    <w:rsid w:val="652A599B"/>
    <w:rsid w:val="653D4FF7"/>
    <w:rsid w:val="65844F8D"/>
    <w:rsid w:val="6589514F"/>
    <w:rsid w:val="67155C33"/>
    <w:rsid w:val="67E763C9"/>
    <w:rsid w:val="6853570F"/>
    <w:rsid w:val="68F34846"/>
    <w:rsid w:val="691F21D5"/>
    <w:rsid w:val="69796D14"/>
    <w:rsid w:val="69AB1384"/>
    <w:rsid w:val="69AE723D"/>
    <w:rsid w:val="6A086EC1"/>
    <w:rsid w:val="6A0B073A"/>
    <w:rsid w:val="6A333703"/>
    <w:rsid w:val="6AA05986"/>
    <w:rsid w:val="6ABE50E7"/>
    <w:rsid w:val="6B15282D"/>
    <w:rsid w:val="6B480E55"/>
    <w:rsid w:val="6B6A6213"/>
    <w:rsid w:val="6B783ACA"/>
    <w:rsid w:val="6BE321F3"/>
    <w:rsid w:val="6D0A6409"/>
    <w:rsid w:val="6D413DAD"/>
    <w:rsid w:val="6D867D65"/>
    <w:rsid w:val="6E5770AB"/>
    <w:rsid w:val="6ED924EF"/>
    <w:rsid w:val="6EE82061"/>
    <w:rsid w:val="6F6F593A"/>
    <w:rsid w:val="70096E04"/>
    <w:rsid w:val="7064403B"/>
    <w:rsid w:val="707E5225"/>
    <w:rsid w:val="71615B93"/>
    <w:rsid w:val="7178316E"/>
    <w:rsid w:val="727E1BD2"/>
    <w:rsid w:val="739A6307"/>
    <w:rsid w:val="73F731C7"/>
    <w:rsid w:val="73FF59A6"/>
    <w:rsid w:val="74203FD3"/>
    <w:rsid w:val="745B1903"/>
    <w:rsid w:val="761A0506"/>
    <w:rsid w:val="76D4359C"/>
    <w:rsid w:val="76FD33E8"/>
    <w:rsid w:val="77F2017E"/>
    <w:rsid w:val="786814A1"/>
    <w:rsid w:val="7899684C"/>
    <w:rsid w:val="7ABC4F69"/>
    <w:rsid w:val="7B870E80"/>
    <w:rsid w:val="7B955A8D"/>
    <w:rsid w:val="7BB353EB"/>
    <w:rsid w:val="7C6F7FEF"/>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3045</Words>
  <Characters>3241</Characters>
  <Lines>0</Lines>
  <Paragraphs>0</Paragraphs>
  <TotalTime>0</TotalTime>
  <ScaleCrop>false</ScaleCrop>
  <LinksUpToDate>false</LinksUpToDate>
  <CharactersWithSpaces>4525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2024-05-31T04:15:31Z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