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8373"/>
      <w:bookmarkStart w:id="1" w:name="_Toc27375"/>
      <w:bookmarkStart w:id="2" w:name="_Toc24959"/>
      <w:bookmarkStart w:id="3" w:name="_Toc1953"/>
      <w:bookmarkStart w:id="4" w:name="_Toc2589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w:t>
      </w:r>
    </w:p>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I期临床试验研究中心监控视频存储服务器、存储阵列及超声波身高体重测量仪等设备购置项目</w:t>
      </w:r>
      <w:bookmarkEnd w:id="0"/>
      <w:bookmarkEnd w:id="1"/>
      <w:bookmarkEnd w:id="2"/>
      <w:bookmarkEnd w:id="3"/>
      <w:bookmarkEnd w:id="4"/>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32"/>
          <w:szCs w:val="32"/>
          <w:lang w:val="en-US" w:eastAsia="zh-CN"/>
          <w14:textFill>
            <w14:solidFill>
              <w14:schemeClr w14:val="tx1"/>
            </w14:solidFill>
          </w14:textFill>
        </w:rPr>
      </w:pPr>
      <w:bookmarkStart w:id="5" w:name="_Toc9230"/>
      <w:bookmarkStart w:id="6" w:name="_Toc5508"/>
      <w:bookmarkStart w:id="7" w:name="_Toc22156"/>
      <w:bookmarkStart w:id="8" w:name="_Toc24350"/>
      <w:bookmarkStart w:id="9" w:name="_Toc22227"/>
      <w:bookmarkStart w:id="10" w:name="_Toc17988"/>
      <w:bookmarkStart w:id="11" w:name="_Toc20741"/>
      <w:bookmarkStart w:id="12" w:name="_Toc8470"/>
      <w:bookmarkStart w:id="13" w:name="_Toc11021"/>
      <w:bookmarkStart w:id="14" w:name="_Toc17336"/>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bookmarkEnd w:id="12"/>
      <w:bookmarkEnd w:id="13"/>
      <w:bookmarkEnd w:id="14"/>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53</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ind w:firstLine="2883" w:firstLineChars="400"/>
        <w:jc w:val="both"/>
        <w:outlineLvl w:val="0"/>
        <w:rPr>
          <w:rFonts w:hint="eastAsia" w:ascii="华文楷体" w:hAnsi="华文楷体" w:eastAsia="华文楷体" w:cs="华文楷体"/>
          <w:b/>
          <w:bCs/>
          <w:color w:val="000000" w:themeColor="text1"/>
          <w:sz w:val="72"/>
          <w:szCs w:val="72"/>
          <w:lang w:val="en-US" w:eastAsia="zh-CN"/>
          <w14:textFill>
            <w14:solidFill>
              <w14:schemeClr w14:val="tx1"/>
            </w14:solidFill>
          </w14:textFill>
        </w:rPr>
      </w:pPr>
      <w:bookmarkStart w:id="15" w:name="_Toc30971"/>
      <w:bookmarkStart w:id="16" w:name="_Toc23534"/>
      <w:bookmarkStart w:id="17" w:name="_Toc3978"/>
      <w:bookmarkStart w:id="18" w:name="_Toc7654"/>
      <w:bookmarkStart w:id="19" w:name="_Toc17121"/>
      <w:bookmarkStart w:id="20" w:name="_Toc6444"/>
      <w:bookmarkStart w:id="21" w:name="_Toc1134"/>
      <w:bookmarkStart w:id="22" w:name="_Toc1399"/>
      <w:bookmarkStart w:id="23" w:name="_Toc11955"/>
      <w:r>
        <w:rPr>
          <w:rFonts w:hint="eastAsia" w:ascii="华文楷体" w:hAnsi="华文楷体" w:eastAsia="华文楷体" w:cs="华文楷体"/>
          <w:b/>
          <w:bCs/>
          <w:color w:val="000000" w:themeColor="text1"/>
          <w:sz w:val="72"/>
          <w:szCs w:val="72"/>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72"/>
          <w:szCs w:val="72"/>
          <w:lang w:val="en-US" w:eastAsia="zh-CN"/>
          <w14:textFill>
            <w14:solidFill>
              <w14:schemeClr w14:val="tx1"/>
            </w14:solidFill>
          </w14:textFill>
        </w:rPr>
        <w:t>标段</w:t>
      </w:r>
    </w:p>
    <w:p>
      <w:pPr>
        <w:pageBreakBefore w:val="0"/>
        <w:topLinePunct w:val="0"/>
        <w:bidi w:val="0"/>
        <w:snapToGrid/>
        <w:spacing w:line="240" w:lineRule="auto"/>
        <w:ind w:firstLine="1441" w:firstLineChars="200"/>
        <w:jc w:val="both"/>
        <w:outlineLvl w:val="0"/>
        <w:rPr>
          <w:rFonts w:hint="eastAsia" w:ascii="华文楷体" w:hAnsi="华文楷体" w:eastAsia="华文楷体" w:cs="华文楷体"/>
          <w:b/>
          <w:bCs/>
          <w:color w:val="000000" w:themeColor="text1"/>
          <w:sz w:val="72"/>
          <w:szCs w:val="72"/>
          <w14:textFill>
            <w14:solidFill>
              <w14:schemeClr w14:val="tx1"/>
            </w14:solidFill>
          </w14:textFill>
        </w:rPr>
      </w:pPr>
      <w:r>
        <w:rPr>
          <w:rFonts w:hint="eastAsia" w:ascii="华文楷体" w:hAnsi="华文楷体" w:eastAsia="华文楷体" w:cs="华文楷体"/>
          <w:b/>
          <w:bCs/>
          <w:color w:val="000000" w:themeColor="text1"/>
          <w:sz w:val="72"/>
          <w:szCs w:val="72"/>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72"/>
          <w:szCs w:val="72"/>
          <w14:textFill>
            <w14:solidFill>
              <w14:schemeClr w14:val="tx1"/>
            </w14:solidFill>
          </w14:textFill>
        </w:rPr>
        <w:t>文件</w:t>
      </w:r>
      <w:bookmarkEnd w:id="15"/>
      <w:bookmarkEnd w:id="16"/>
      <w:bookmarkEnd w:id="17"/>
      <w:bookmarkEnd w:id="18"/>
      <w:bookmarkEnd w:id="19"/>
      <w:bookmarkEnd w:id="20"/>
      <w:bookmarkEnd w:id="21"/>
      <w:bookmarkEnd w:id="22"/>
      <w:bookmarkEnd w:id="23"/>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4" w:name="_Toc14917"/>
      <w:bookmarkEnd w:id="24"/>
      <w:bookmarkStart w:id="25" w:name="_Toc184"/>
      <w:bookmarkEnd w:id="25"/>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spacing w:before="0" w:beforeLines="0" w:after="0" w:afterLines="0" w:line="240" w:lineRule="auto"/>
            <w:ind w:left="0" w:leftChars="0" w:right="0" w:rightChars="0" w:firstLine="0" w:firstLineChars="0"/>
            <w:jc w:val="center"/>
            <w:rPr>
              <w:rFonts w:hint="eastAsia" w:ascii="华文楷体" w:hAnsi="华文楷体" w:eastAsia="华文楷体" w:cs="华文楷体"/>
              <w:b/>
              <w:bCs/>
              <w:sz w:val="32"/>
              <w:szCs w:val="32"/>
            </w:rPr>
          </w:pP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_Toc25895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安宁市中医医院台式计算机购置项目</w:t>
          </w:r>
          <w:r>
            <w:tab/>
          </w:r>
          <w:r>
            <w:fldChar w:fldCharType="begin"/>
          </w:r>
          <w:r>
            <w:instrText xml:space="preserve"> PAGEREF _Toc25895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_Toc17336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2024N48</w:t>
          </w:r>
          <w:r>
            <w:tab/>
          </w:r>
          <w:r>
            <w:fldChar w:fldCharType="begin"/>
          </w:r>
          <w:r>
            <w:instrText xml:space="preserve"> PAGEREF _Toc17336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_Toc1399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_Toc25999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_Toc25999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_Toc23608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_Toc23608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_Toc24219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_Toc24219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_Toc25293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_Toc25293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_Toc14553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_Toc14553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_Toc16569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_Toc16569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_Toc13627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_Toc13627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_Toc29889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九、经销商资质文件</w:t>
          </w:r>
          <w:r>
            <w:tab/>
          </w:r>
          <w:r>
            <w:fldChar w:fldCharType="begin"/>
          </w:r>
          <w:r>
            <w:instrText xml:space="preserve"> PAGEREF _Toc29889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_Toc23228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十、产品技术资料</w:t>
          </w:r>
          <w:r>
            <w:tab/>
          </w:r>
          <w:r>
            <w:fldChar w:fldCharType="begin"/>
          </w:r>
          <w:r>
            <w:instrText xml:space="preserve"> PAGEREF _Toc23228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十一、供货方案</w:t>
          </w:r>
          <w:r>
            <w:tab/>
          </w:r>
          <w:r>
            <w:fldChar w:fldCharType="begin"/>
          </w:r>
          <w:r>
            <w:instrText xml:space="preserve"> PAGEREF _Toc2064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_Toc15224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十二、售后服务方案</w:t>
          </w:r>
          <w:r>
            <w:tab/>
          </w:r>
          <w:r>
            <w:fldChar w:fldCharType="begin"/>
          </w:r>
          <w:r>
            <w:instrText xml:space="preserve"> PAGEREF _Toc15224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_Toc9096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 培训方案</w:t>
          </w:r>
          <w:r>
            <w:tab/>
          </w:r>
          <w:r>
            <w:fldChar w:fldCharType="begin"/>
          </w:r>
          <w:r>
            <w:instrText xml:space="preserve"> PAGEREF _Toc9096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_Toc1837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 业绩</w:t>
          </w:r>
          <w:r>
            <w:tab/>
          </w:r>
          <w:r>
            <w:fldChar w:fldCharType="begin"/>
          </w:r>
          <w:r>
            <w:instrText xml:space="preserve"> PAGEREF _Toc1837 \h </w:instrText>
          </w:r>
          <w:r>
            <w:fldChar w:fldCharType="separate"/>
          </w:r>
          <w:r>
            <w:t>17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_Toc24751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_Toc24751 \h </w:instrText>
          </w:r>
          <w:r>
            <w:fldChar w:fldCharType="separate"/>
          </w:r>
          <w:r>
            <w:t>18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_Toc32521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28"/>
              <w:lang w:eastAsia="zh-CN"/>
            </w:rPr>
            <w:t>十六、二次报价承诺</w:t>
          </w:r>
          <w:r>
            <w:tab/>
          </w:r>
          <w:r>
            <w:fldChar w:fldCharType="begin"/>
          </w:r>
          <w:r>
            <w:instrText xml:space="preserve"> PAGEREF _Toc32521 \h </w:instrText>
          </w:r>
          <w:r>
            <w:fldChar w:fldCharType="separate"/>
          </w:r>
          <w:r>
            <w:t>19</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5999"/>
      <w:r>
        <w:rPr>
          <w:rFonts w:hint="eastAsia" w:ascii="华文楷体" w:hAnsi="华文楷体" w:eastAsia="华文楷体" w:cs="华文楷体"/>
          <w:color w:val="FF0000"/>
          <w:sz w:val="32"/>
          <w:szCs w:val="32"/>
          <w:lang w:val="en-US" w:eastAsia="zh-CN"/>
        </w:rPr>
        <w:t>一、开标一览表</w:t>
      </w:r>
      <w:bookmarkEnd w:id="26"/>
    </w:p>
    <w:p>
      <w:pPr>
        <w:pageBreakBefore w:val="0"/>
        <w:topLinePunct w:val="0"/>
        <w:bidi w:val="0"/>
        <w:snapToGrid/>
        <w:spacing w:line="240" w:lineRule="auto"/>
        <w:rPr>
          <w:rFonts w:hint="eastAsia" w:ascii="华文楷体" w:hAnsi="华文楷体" w:eastAsia="华文楷体" w:cs="华文楷体"/>
          <w:b w:val="0"/>
          <w:bCs w:val="0"/>
          <w:color w:val="auto"/>
          <w:kern w:val="2"/>
          <w:sz w:val="28"/>
          <w:szCs w:val="28"/>
          <w:highlight w:val="none"/>
          <w:u w:val="none"/>
          <w:lang w:val="en-US" w:eastAsia="zh-CN" w:bidi="ar-SA"/>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安宁市第一人民医院I期临床试验研究中心监控视频存储服务器、存储阵列及超声波身高体重测量仪等设备购置项目</w:t>
      </w:r>
      <w:r>
        <w:rPr>
          <w:rFonts w:hint="eastAsia" w:ascii="华文楷体" w:hAnsi="华文楷体" w:eastAsia="华文楷体" w:cs="华文楷体"/>
          <w:b w:val="0"/>
          <w:bCs w:val="0"/>
          <w:color w:val="auto"/>
          <w:kern w:val="2"/>
          <w:sz w:val="28"/>
          <w:szCs w:val="28"/>
          <w:highlight w:val="none"/>
          <w:u w:val="none"/>
          <w:lang w:val="en-US" w:eastAsia="zh-CN" w:bidi="ar-SA"/>
        </w:rPr>
        <w:t>；</w:t>
      </w:r>
    </w:p>
    <w:p>
      <w:pPr>
        <w:pageBreakBefore w:val="0"/>
        <w:topLinePunct w:val="0"/>
        <w:bidi w:val="0"/>
        <w:snapToGrid/>
        <w:spacing w:line="240" w:lineRule="auto"/>
        <w:rPr>
          <w:rFonts w:hint="default" w:ascii="华文楷体" w:hAnsi="华文楷体" w:eastAsia="华文楷体" w:cs="华文楷体"/>
          <w:b w:val="0"/>
          <w:bCs w:val="0"/>
          <w:color w:val="auto"/>
          <w:kern w:val="2"/>
          <w:sz w:val="28"/>
          <w:szCs w:val="28"/>
          <w:highlight w:val="none"/>
          <w:u w:val="single"/>
          <w:lang w:val="en-US" w:eastAsia="zh-CN" w:bidi="ar-SA"/>
        </w:rPr>
      </w:pPr>
      <w:r>
        <w:rPr>
          <w:rFonts w:hint="eastAsia" w:ascii="华文楷体" w:hAnsi="华文楷体" w:eastAsia="华文楷体" w:cs="华文楷体"/>
          <w:b w:val="0"/>
          <w:bCs w:val="0"/>
          <w:color w:val="auto"/>
          <w:kern w:val="2"/>
          <w:sz w:val="28"/>
          <w:szCs w:val="28"/>
          <w:highlight w:val="none"/>
          <w:u w:val="none"/>
          <w:lang w:val="en-US" w:eastAsia="zh-CN" w:bidi="ar-SA"/>
        </w:rPr>
        <w:t>标段：</w:t>
      </w:r>
      <w:r>
        <w:rPr>
          <w:rFonts w:hint="eastAsia" w:ascii="华文楷体" w:hAnsi="华文楷体" w:eastAsia="华文楷体" w:cs="华文楷体"/>
          <w:b w:val="0"/>
          <w:bCs w:val="0"/>
          <w:color w:val="auto"/>
          <w:kern w:val="2"/>
          <w:sz w:val="28"/>
          <w:szCs w:val="28"/>
          <w:highlight w:val="none"/>
          <w:u w:val="single"/>
          <w:lang w:val="en-US" w:eastAsia="zh-CN" w:bidi="ar-SA"/>
        </w:rPr>
        <w:t xml:space="preserve">         </w:t>
      </w:r>
      <w:r>
        <w:rPr>
          <w:rFonts w:hint="eastAsia" w:ascii="华文楷体" w:hAnsi="华文楷体" w:eastAsia="华文楷体" w:cs="华文楷体"/>
          <w:b w:val="0"/>
          <w:bCs w:val="0"/>
          <w:color w:val="auto"/>
          <w:kern w:val="2"/>
          <w:sz w:val="28"/>
          <w:szCs w:val="28"/>
          <w:highlight w:val="none"/>
          <w:u w:val="none"/>
          <w:lang w:val="en-US" w:eastAsia="zh-CN" w:bidi="ar-SA"/>
        </w:rPr>
        <w:t>；</w:t>
      </w:r>
    </w:p>
    <w:tbl>
      <w:tblPr>
        <w:tblStyle w:val="17"/>
        <w:tblpPr w:leftFromText="180" w:rightFromText="180" w:vertAnchor="text" w:horzAnchor="page" w:tblpX="1187" w:tblpY="195"/>
        <w:tblOverlap w:val="never"/>
        <w:tblW w:w="10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1906" w:h="16838"/>
          <w:pgMar w:top="1440" w:right="1080" w:bottom="1440" w:left="108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7" w:name="_Toc18551"/>
      <w:bookmarkStart w:id="28" w:name="_Toc23608"/>
      <w:r>
        <w:rPr>
          <w:rFonts w:hint="eastAsia" w:ascii="华文楷体" w:hAnsi="华文楷体" w:eastAsia="华文楷体" w:cs="华文楷体"/>
          <w:color w:val="FF0000"/>
          <w:sz w:val="32"/>
          <w:szCs w:val="32"/>
          <w:lang w:val="en-US" w:eastAsia="zh-CN"/>
        </w:rPr>
        <w:t>二、响应函</w:t>
      </w:r>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val="0"/>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安宁市第一人民医院I期临床试验研究中心监控视频存储服务器、存储阵列及超声波身高体重测量仪等设备购置项目    标段</w:t>
      </w:r>
      <w:r>
        <w:rPr>
          <w:rFonts w:hint="eastAsia" w:ascii="华文楷体" w:hAnsi="华文楷体" w:eastAsia="华文楷体" w:cs="华文楷体"/>
          <w:sz w:val="22"/>
          <w:szCs w:val="22"/>
          <w:u w:val="single"/>
          <w:lang w:val="en-US" w:eastAsia="zh-CN"/>
        </w:rPr>
        <w:t>（采购编号： ANYGT-YNTP-2024N53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天内完成供货。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9" w:name="_Toc24219"/>
      <w:bookmarkStart w:id="30" w:name="_Toc8519"/>
      <w:bookmarkStart w:id="31" w:name="_Toc25991"/>
      <w:r>
        <w:rPr>
          <w:rFonts w:hint="eastAsia" w:ascii="华文楷体" w:hAnsi="华文楷体" w:eastAsia="华文楷体" w:cs="华文楷体"/>
          <w:color w:val="FF0000"/>
          <w:sz w:val="32"/>
          <w:szCs w:val="32"/>
          <w:lang w:val="en-US" w:eastAsia="zh-CN"/>
        </w:rPr>
        <w:t>三、响应产品技术参数说明</w:t>
      </w:r>
      <w:bookmarkEnd w:id="29"/>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zh-CN" w:eastAsia="zh-CN"/>
        </w:rPr>
        <w:tab/>
      </w: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bookmarkEnd w:id="30"/>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安宁市第一人民医院I期临床试验研究中心监控视频存储服务器、存储阵列及超声波身高体重测量仪等设备购置项目</w:t>
      </w:r>
      <w:r>
        <w:rPr>
          <w:rFonts w:hint="eastAsia" w:ascii="华文楷体" w:hAnsi="华文楷体" w:eastAsia="华文楷体" w:cs="华文楷体"/>
          <w:color w:val="auto"/>
          <w:sz w:val="22"/>
          <w:szCs w:val="22"/>
          <w:highlight w:val="none"/>
          <w:u w:val="none"/>
          <w:lang w:val="en-US" w:eastAsia="zh-CN"/>
        </w:rPr>
        <w:t>；</w:t>
      </w:r>
    </w:p>
    <w:p>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标段：</w:t>
      </w:r>
      <w:r>
        <w:rPr>
          <w:rFonts w:hint="eastAsia" w:ascii="华文楷体" w:hAnsi="华文楷体" w:eastAsia="华文楷体" w:cs="华文楷体"/>
          <w:color w:val="auto"/>
          <w:sz w:val="22"/>
          <w:szCs w:val="22"/>
          <w:highlight w:val="none"/>
          <w:u w:val="single"/>
          <w:lang w:val="en-US" w:eastAsia="zh-CN"/>
        </w:rPr>
        <w:t xml:space="preserve">                 </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32" w:name="_Toc493600038"/>
      <w:bookmarkStart w:id="33" w:name="_Toc13398"/>
      <w:bookmarkStart w:id="34" w:name="_Toc87445179"/>
      <w:bookmarkStart w:id="35" w:name="_Toc25293"/>
      <w:bookmarkStart w:id="36" w:name="_Toc389130506"/>
      <w:bookmarkStart w:id="37" w:name="_Toc20950"/>
      <w:bookmarkStart w:id="38" w:name="_Toc10217844"/>
      <w:bookmarkStart w:id="39" w:name="_Toc351391183"/>
      <w:bookmarkStart w:id="40" w:name="_Toc205269530"/>
      <w:r>
        <w:rPr>
          <w:rFonts w:hint="eastAsia" w:ascii="华文楷体" w:hAnsi="华文楷体" w:eastAsia="华文楷体" w:cs="华文楷体"/>
          <w:b/>
          <w:color w:val="FF0000"/>
          <w:kern w:val="0"/>
          <w:sz w:val="32"/>
          <w:szCs w:val="32"/>
          <w:lang w:val="zh-CN" w:eastAsia="zh-CN" w:bidi="ar-SA"/>
        </w:rPr>
        <w:t>五、响应人信息表</w:t>
      </w:r>
      <w:bookmarkEnd w:id="32"/>
      <w:bookmarkEnd w:id="33"/>
      <w:bookmarkEnd w:id="34"/>
      <w:bookmarkEnd w:id="35"/>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1" w:name="OLE_LINK22"/>
            <w:bookmarkStart w:id="42"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1"/>
            <w:bookmarkEnd w:id="42"/>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3" w:name="_Toc14553"/>
      <w:r>
        <w:rPr>
          <w:rFonts w:hint="eastAsia" w:ascii="华文楷体" w:hAnsi="华文楷体" w:eastAsia="华文楷体" w:cs="华文楷体"/>
          <w:color w:val="FF0000"/>
          <w:sz w:val="32"/>
          <w:szCs w:val="32"/>
          <w:lang w:val="en-US" w:eastAsia="zh-CN"/>
        </w:rPr>
        <w:t>六、法定代表人(负责人)身份证明书</w:t>
      </w:r>
      <w:bookmarkEnd w:id="36"/>
      <w:bookmarkEnd w:id="37"/>
      <w:bookmarkEnd w:id="38"/>
      <w:bookmarkEnd w:id="39"/>
      <w:bookmarkEnd w:id="40"/>
      <w:bookmarkEnd w:id="43"/>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4" w:name="_Toc21393"/>
      <w:bookmarkStart w:id="45" w:name="_Toc16569"/>
      <w:r>
        <w:rPr>
          <w:rFonts w:hint="eastAsia" w:ascii="华文楷体" w:hAnsi="华文楷体" w:eastAsia="华文楷体" w:cs="华文楷体"/>
          <w:b/>
          <w:color w:val="FF0000"/>
          <w:kern w:val="0"/>
          <w:sz w:val="32"/>
          <w:szCs w:val="32"/>
          <w:lang w:val="en-US" w:eastAsia="zh-CN" w:bidi="ar-SA"/>
        </w:rPr>
        <w:t>七、法定代表人（负责人）授权委托书</w:t>
      </w:r>
      <w:bookmarkEnd w:id="44"/>
      <w:bookmarkEnd w:id="45"/>
    </w:p>
    <w:p>
      <w:pPr>
        <w:keepNext w:val="0"/>
        <w:keepLines w:val="0"/>
        <w:pageBreakBefore w:val="0"/>
        <w:widowControl w:val="0"/>
        <w:wordWrap/>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Style w:val="10"/>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安宁市第一人民医院I期临床试验研究中心监控视频存储服务器、存储阵列及超声波身高体重测量仪等设备购置项目     标段的</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6" w:name="_Toc13627"/>
      <w:r>
        <w:rPr>
          <w:rFonts w:hint="eastAsia" w:ascii="华文楷体" w:hAnsi="华文楷体" w:eastAsia="华文楷体" w:cs="华文楷体"/>
          <w:b/>
          <w:color w:val="FF0000"/>
          <w:kern w:val="0"/>
          <w:sz w:val="32"/>
          <w:szCs w:val="32"/>
          <w:lang w:val="en-US" w:eastAsia="zh-CN" w:bidi="ar-SA"/>
        </w:rPr>
        <w:t>八、质量保证书</w:t>
      </w:r>
      <w:bookmarkEnd w:id="46"/>
    </w:p>
    <w:p>
      <w:pPr>
        <w:pStyle w:val="10"/>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pStyle w:val="10"/>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auto"/>
          <w:sz w:val="22"/>
          <w:szCs w:val="22"/>
          <w:highlight w:val="none"/>
          <w:u w:val="single"/>
          <w:lang w:val="en-US" w:eastAsia="zh-CN"/>
        </w:rPr>
        <w:t>安宁市第一人民医院I期临床试验研究中心监控视频存储服务器、存储阵列及超声波身高体重测量仪等设备购置项目</w:t>
      </w:r>
      <w:r>
        <w:rPr>
          <w:rFonts w:hint="eastAsia" w:ascii="华文楷体" w:hAnsi="华文楷体" w:eastAsia="华文楷体" w:cs="华文楷体"/>
          <w:sz w:val="24"/>
          <w:szCs w:val="24"/>
          <w:u w:val="single"/>
        </w:rPr>
        <w:t>（项目编号：</w:t>
      </w:r>
      <w:r>
        <w:rPr>
          <w:rFonts w:hint="eastAsia" w:ascii="华文楷体" w:hAnsi="华文楷体" w:eastAsia="华文楷体" w:cs="华文楷体"/>
          <w:sz w:val="24"/>
          <w:szCs w:val="24"/>
          <w:u w:val="single"/>
          <w:lang w:val="en-US" w:eastAsia="zh-CN"/>
        </w:rPr>
        <w:t>ANYGT-YNTP-2024N48</w:t>
      </w:r>
      <w:r>
        <w:rPr>
          <w:rFonts w:hint="eastAsia" w:ascii="华文楷体" w:hAnsi="华文楷体" w:eastAsia="华文楷体" w:cs="华文楷体"/>
          <w:sz w:val="24"/>
          <w:szCs w:val="24"/>
          <w:u w:val="single"/>
        </w:rPr>
        <w:t>）</w:t>
      </w:r>
      <w:r>
        <w:rPr>
          <w:rFonts w:hint="eastAsia" w:ascii="华文楷体" w:hAnsi="华文楷体" w:eastAsia="华文楷体" w:cs="华文楷体"/>
          <w:color w:val="auto"/>
          <w:sz w:val="22"/>
          <w:szCs w:val="22"/>
          <w:highlight w:val="none"/>
          <w:u w:val="single"/>
          <w:lang w:val="en-US" w:eastAsia="zh-CN"/>
        </w:rPr>
        <w:t xml:space="preserve">     标段</w:t>
      </w:r>
      <w:r>
        <w:rPr>
          <w:rFonts w:hint="eastAsia" w:ascii="华文楷体" w:hAnsi="华文楷体" w:eastAsia="华文楷体" w:cs="华文楷体"/>
          <w:color w:val="000000"/>
          <w:sz w:val="24"/>
          <w:szCs w:val="24"/>
          <w:highlight w:val="none"/>
        </w:rPr>
        <w:t>提供的质量保证证明。</w:t>
      </w:r>
    </w:p>
    <w:p>
      <w:pPr>
        <w:keepNext w:val="0"/>
        <w:keepLines w:val="0"/>
        <w:pageBreakBefore w:val="0"/>
        <w:widowControl w:val="0"/>
        <w:kinsoku/>
        <w:wordWrap/>
        <w:overflowPunct/>
        <w:topLinePunct w:val="0"/>
        <w:autoSpaceDE/>
        <w:autoSpaceDN/>
        <w:bidi w:val="0"/>
        <w:adjustRightInd/>
        <w:snapToGrid/>
        <w:spacing w:line="560" w:lineRule="exact"/>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keepNext w:val="0"/>
        <w:keepLines w:val="0"/>
        <w:pageBreakBefore w:val="0"/>
        <w:widowControl w:val="0"/>
        <w:kinsoku/>
        <w:wordWrap/>
        <w:overflowPunct/>
        <w:topLinePunct w:val="0"/>
        <w:autoSpaceDE/>
        <w:autoSpaceDN/>
        <w:bidi w:val="0"/>
        <w:adjustRightInd/>
        <w:snapToGrid/>
        <w:spacing w:line="560" w:lineRule="exact"/>
        <w:ind w:firstLine="360" w:firstLineChars="150"/>
        <w:contextualSpacing/>
        <w:textAlignment w:val="auto"/>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0"/>
        <w:rPr>
          <w:rFonts w:hint="eastAsia" w:ascii="华文楷体" w:hAnsi="华文楷体" w:eastAsia="华文楷体" w:cs="华文楷体"/>
          <w:b/>
          <w:color w:val="FF0000"/>
          <w:kern w:val="0"/>
          <w:sz w:val="32"/>
          <w:szCs w:val="32"/>
          <w:lang w:val="en-US" w:eastAsia="zh-CN" w:bidi="ar-SA"/>
        </w:rPr>
      </w:pPr>
    </w:p>
    <w:p>
      <w:pPr>
        <w:pStyle w:val="5"/>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7" w:name="_Toc29889"/>
      <w:r>
        <w:rPr>
          <w:rFonts w:hint="eastAsia" w:ascii="华文楷体" w:hAnsi="华文楷体" w:eastAsia="华文楷体" w:cs="华文楷体"/>
          <w:b/>
          <w:color w:val="FF0000"/>
          <w:kern w:val="0"/>
          <w:sz w:val="32"/>
          <w:szCs w:val="32"/>
          <w:lang w:val="en-US" w:eastAsia="zh-CN" w:bidi="ar-SA"/>
        </w:rPr>
        <w:t>九、经销商资质文件</w:t>
      </w:r>
      <w:bookmarkEnd w:id="47"/>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48" w:name="_Toc23228"/>
      <w:r>
        <w:rPr>
          <w:rFonts w:hint="eastAsia" w:ascii="华文楷体" w:hAnsi="华文楷体" w:eastAsia="华文楷体" w:cs="华文楷体"/>
          <w:b/>
          <w:color w:val="FF0000"/>
          <w:kern w:val="0"/>
          <w:sz w:val="32"/>
          <w:szCs w:val="32"/>
          <w:lang w:val="en-US" w:eastAsia="zh-CN" w:bidi="ar-SA"/>
        </w:rPr>
        <w:t>十、产品技术资料</w:t>
      </w:r>
      <w:bookmarkEnd w:id="48"/>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属于第二类、第三类医疗器械的需提供医疗器械生产企业许可证及产品注册证（实质性条款），属于第一类医疗器械的需提供相关备案证明）。</w:t>
      </w:r>
    </w:p>
    <w:bookmarkEnd w:id="31"/>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9" w:name="_Toc2790"/>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center"/>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pageBreakBefore w:val="0"/>
        <w:widowControl w:val="0"/>
        <w:numPr>
          <w:ilvl w:val="1"/>
          <w:numId w:val="0"/>
        </w:numPr>
        <w:kinsoku/>
        <w:wordWrap/>
        <w:overflowPunct/>
        <w:topLinePunct w:val="0"/>
        <w:autoSpaceDE/>
        <w:autoSpaceDN/>
        <w:bidi w:val="0"/>
        <w:adjustRightInd w:val="0"/>
        <w:snapToGrid/>
        <w:spacing w:before="0" w:line="560" w:lineRule="exact"/>
        <w:jc w:val="both"/>
        <w:textAlignment w:val="baseline"/>
        <w:outlineLvl w:val="0"/>
        <w:rPr>
          <w:rFonts w:hint="eastAsia" w:ascii="华文楷体" w:hAnsi="华文楷体" w:eastAsia="华文楷体" w:cs="华文楷体"/>
          <w:b/>
          <w:color w:val="FF0000"/>
          <w:kern w:val="0"/>
          <w:sz w:val="32"/>
          <w:szCs w:val="32"/>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560" w:lineRule="exact"/>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50" w:name="_Toc2064"/>
      <w:r>
        <w:rPr>
          <w:rFonts w:hint="eastAsia" w:ascii="华文楷体" w:hAnsi="华文楷体" w:eastAsia="华文楷体" w:cs="华文楷体"/>
          <w:b/>
          <w:color w:val="FF0000"/>
          <w:kern w:val="0"/>
          <w:sz w:val="32"/>
          <w:szCs w:val="32"/>
          <w:lang w:val="en-US" w:eastAsia="zh-CN" w:bidi="ar-SA"/>
        </w:rPr>
        <w:t>十一、供货方案</w:t>
      </w:r>
      <w:bookmarkEnd w:id="49"/>
      <w:bookmarkEnd w:id="50"/>
      <w:r>
        <w:rPr>
          <w:rFonts w:hint="eastAsia" w:ascii="华文楷体" w:hAnsi="华文楷体" w:eastAsia="华文楷体" w:cs="华文楷体"/>
          <w:b/>
          <w:color w:val="FF0000"/>
          <w:kern w:val="0"/>
          <w:sz w:val="32"/>
          <w:szCs w:val="32"/>
          <w:lang w:val="en-US" w:eastAsia="zh-CN" w:bidi="ar-SA"/>
        </w:rPr>
        <w:t>说明</w:t>
      </w: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w:t>
      </w: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keepLines w:val="0"/>
        <w:pageBreakBefore w:val="0"/>
        <w:widowControl w:val="0"/>
        <w:numPr>
          <w:ilvl w:val="1"/>
          <w:numId w:val="0"/>
        </w:numPr>
        <w:kinsoku/>
        <w:wordWrap/>
        <w:overflowPunct/>
        <w:topLinePunct w:val="0"/>
        <w:autoSpaceDE/>
        <w:autoSpaceDN/>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51" w:name="_Toc26889"/>
      <w:bookmarkStart w:id="52" w:name="_Toc15224"/>
      <w:r>
        <w:rPr>
          <w:rFonts w:hint="eastAsia" w:ascii="华文楷体" w:hAnsi="华文楷体" w:eastAsia="华文楷体" w:cs="华文楷体"/>
          <w:b/>
          <w:color w:val="FF0000"/>
          <w:kern w:val="0"/>
          <w:sz w:val="32"/>
          <w:szCs w:val="32"/>
          <w:lang w:val="en-US" w:eastAsia="zh-CN" w:bidi="ar-SA"/>
        </w:rPr>
        <w:t>十二、</w:t>
      </w:r>
      <w:bookmarkEnd w:id="51"/>
      <w:r>
        <w:rPr>
          <w:rFonts w:hint="eastAsia" w:ascii="华文楷体" w:hAnsi="华文楷体" w:eastAsia="华文楷体" w:cs="华文楷体"/>
          <w:b/>
          <w:color w:val="FF0000"/>
          <w:kern w:val="0"/>
          <w:sz w:val="32"/>
          <w:szCs w:val="32"/>
          <w:lang w:val="en-US" w:eastAsia="zh-CN" w:bidi="ar-SA"/>
        </w:rPr>
        <w:t>售后服务方案</w:t>
      </w:r>
      <w:bookmarkEnd w:id="52"/>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（格式自拟，加盖公章）</w:t>
      </w: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kern w:val="2"/>
          <w:sz w:val="24"/>
          <w:szCs w:val="24"/>
          <w:u w:val="none"/>
          <w:lang w:val="en-US" w:eastAsia="zh-CN" w:bidi="ar-SA"/>
        </w:rPr>
      </w:pPr>
    </w:p>
    <w:p>
      <w:pPr>
        <w:keepLines w:val="0"/>
        <w:pageBreakBefore w:val="0"/>
        <w:widowControl w:val="0"/>
        <w:kinsoku/>
        <w:wordWrap/>
        <w:overflowPunct/>
        <w:topLinePunct w:val="0"/>
        <w:autoSpaceDE/>
        <w:autoSpaceDN/>
        <w:bidi w:val="0"/>
        <w:snapToGrid/>
        <w:spacing w:line="240" w:lineRule="auto"/>
        <w:jc w:val="both"/>
        <w:rPr>
          <w:rFonts w:hint="eastAsia" w:ascii="华文楷体" w:hAnsi="华文楷体" w:eastAsia="华文楷体" w:cs="华文楷体"/>
          <w:b w:val="0"/>
          <w:bCs w:val="0"/>
          <w:sz w:val="24"/>
          <w:szCs w:val="24"/>
          <w:u w:val="none"/>
          <w:lang w:val="en-US" w:eastAsia="zh-CN"/>
        </w:rPr>
      </w:pPr>
    </w:p>
    <w:p>
      <w:pPr>
        <w:pStyle w:val="3"/>
        <w:pageBreakBefore w:val="0"/>
        <w:numPr>
          <w:ilvl w:val="0"/>
          <w:numId w:val="2"/>
        </w:numPr>
        <w:topLinePunct w:val="0"/>
        <w:bidi w:val="0"/>
        <w:snapToGrid/>
        <w:spacing w:line="240" w:lineRule="auto"/>
        <w:ind w:left="284" w:leftChars="0" w:hanging="284" w:firstLineChars="0"/>
        <w:jc w:val="center"/>
        <w:outlineLvl w:val="0"/>
        <w:rPr>
          <w:rFonts w:hint="eastAsia" w:ascii="华文楷体" w:hAnsi="华文楷体" w:eastAsia="华文楷体" w:cs="华文楷体"/>
          <w:b/>
          <w:color w:val="FF0000"/>
          <w:kern w:val="0"/>
          <w:sz w:val="32"/>
          <w:szCs w:val="32"/>
          <w:lang w:val="en-US" w:eastAsia="zh-CN" w:bidi="ar-SA"/>
        </w:rPr>
      </w:pPr>
      <w:bookmarkStart w:id="53" w:name="_Toc1837"/>
      <w:bookmarkStart w:id="54" w:name="_Toc14865"/>
      <w:r>
        <w:rPr>
          <w:rFonts w:hint="eastAsia" w:ascii="华文楷体" w:hAnsi="华文楷体" w:eastAsia="华文楷体" w:cs="华文楷体"/>
          <w:b/>
          <w:color w:val="FF0000"/>
          <w:kern w:val="0"/>
          <w:sz w:val="32"/>
          <w:szCs w:val="32"/>
          <w:lang w:val="en-US" w:eastAsia="zh-CN" w:bidi="ar-SA"/>
        </w:rPr>
        <w:t>业绩</w:t>
      </w:r>
      <w:bookmarkEnd w:id="53"/>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2021年1月1日至今具有类似供货业绩，每提供一个有效业绩加1分，满分5分。（有效业绩需提供中标通知书或合同扫描件，中标通知书或合同扫描件中的单价、金额等关键信息不得涂盖，有效业绩必须是谈判申请人（本公司）与本项目采购货物相同的供货业绩）</w:t>
      </w: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pageBreakBefore w:val="0"/>
        <w:numPr>
          <w:ilvl w:val="1"/>
          <w:numId w:val="0"/>
        </w:numPr>
        <w:topLinePunct w:val="0"/>
        <w:bidi w:val="0"/>
        <w:snapToGrid/>
        <w:spacing w:line="240" w:lineRule="auto"/>
        <w:jc w:val="both"/>
        <w:outlineLvl w:val="0"/>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snapToGrid/>
        <w:spacing w:line="560" w:lineRule="exact"/>
        <w:jc w:val="both"/>
        <w:outlineLvl w:val="0"/>
        <w:rPr>
          <w:rFonts w:hint="eastAsia" w:ascii="华文楷体" w:hAnsi="华文楷体" w:eastAsia="华文楷体" w:cs="华文楷体"/>
          <w:b/>
          <w:color w:val="FF0000"/>
          <w:kern w:val="0"/>
          <w:sz w:val="32"/>
          <w:szCs w:val="32"/>
          <w:lang w:val="en-US" w:eastAsia="zh-CN" w:bidi="ar-SA"/>
        </w:rPr>
      </w:pPr>
      <w:bookmarkStart w:id="55" w:name="_Toc24751"/>
    </w:p>
    <w:p>
      <w:pPr>
        <w:rPr>
          <w:rFonts w:hint="eastAsia" w:ascii="华文楷体" w:hAnsi="华文楷体" w:eastAsia="华文楷体" w:cs="华文楷体"/>
          <w:b/>
          <w:color w:val="FF0000"/>
          <w:kern w:val="0"/>
          <w:sz w:val="32"/>
          <w:szCs w:val="32"/>
          <w:lang w:val="en-US" w:eastAsia="zh-CN" w:bidi="ar-SA"/>
        </w:rPr>
      </w:pPr>
    </w:p>
    <w:p>
      <w:pPr>
        <w:rPr>
          <w:rFonts w:hint="eastAsia" w:ascii="华文楷体" w:hAnsi="华文楷体" w:eastAsia="华文楷体" w:cs="华文楷体"/>
          <w:b/>
          <w:color w:val="FF0000"/>
          <w:kern w:val="0"/>
          <w:sz w:val="32"/>
          <w:szCs w:val="32"/>
          <w:lang w:val="en-US" w:eastAsia="zh-CN" w:bidi="ar-SA"/>
        </w:rPr>
      </w:pPr>
    </w:p>
    <w:p>
      <w:pPr>
        <w:pStyle w:val="3"/>
        <w:keepNext w:val="0"/>
        <w:keepLines w:val="0"/>
        <w:pageBreakBefore w:val="0"/>
        <w:widowControl w:val="0"/>
        <w:numPr>
          <w:ilvl w:val="1"/>
          <w:numId w:val="0"/>
        </w:numPr>
        <w:kinsoku/>
        <w:wordWrap/>
        <w:overflowPunct/>
        <w:topLinePunct w:val="0"/>
        <w:autoSpaceDE/>
        <w:autoSpaceDN/>
        <w:bidi w:val="0"/>
        <w:snapToGrid/>
        <w:spacing w:line="560" w:lineRule="exact"/>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4"/>
      <w:bookmarkEnd w:id="55"/>
    </w:p>
    <w:p>
      <w:pPr>
        <w:keepNext w:val="0"/>
        <w:keepLines w:val="0"/>
        <w:pageBreakBefore w:val="0"/>
        <w:widowControl w:val="0"/>
        <w:kinsoku/>
        <w:wordWrap/>
        <w:overflowPunct/>
        <w:topLinePunct w:val="0"/>
        <w:autoSpaceDE/>
        <w:autoSpaceDN/>
        <w:bidi w:val="0"/>
        <w:snapToGrid/>
        <w:spacing w:line="560" w:lineRule="exact"/>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jc w:val="center"/>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十五：二次报价承诺书</w:t>
      </w:r>
    </w:p>
    <w:p>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同开标一览表填写完整，最终投标报价栏空白，不需装订在响应文件里，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后带到谈判现场谈判结束后再填写最终投标报价！）</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0"/>
        <w:rPr>
          <w:rFonts w:hint="eastAsia" w:ascii="华文楷体" w:hAnsi="华文楷体" w:eastAsia="华文楷体" w:cs="华文楷体"/>
          <w:b/>
          <w:bCs/>
          <w:sz w:val="28"/>
          <w:szCs w:val="28"/>
          <w:u w:val="single"/>
          <w:lang w:eastAsia="zh-CN"/>
        </w:rPr>
      </w:pPr>
      <w:bookmarkStart w:id="56" w:name="_Toc26533"/>
      <w:bookmarkStart w:id="57" w:name="_Toc7590"/>
      <w:bookmarkStart w:id="58" w:name="_Toc23910"/>
      <w:bookmarkStart w:id="59" w:name="_Toc19048"/>
      <w:bookmarkStart w:id="60" w:name="_Toc25364"/>
      <w:bookmarkStart w:id="61" w:name="_Toc5152"/>
      <w:bookmarkStart w:id="62" w:name="_Toc8055"/>
      <w:bookmarkStart w:id="63" w:name="_Toc32521"/>
      <w:r>
        <w:rPr>
          <w:rFonts w:hint="eastAsia" w:ascii="华文楷体" w:hAnsi="华文楷体" w:eastAsia="华文楷体" w:cs="华文楷体"/>
          <w:b/>
          <w:bCs/>
          <w:sz w:val="28"/>
          <w:szCs w:val="28"/>
        </w:rPr>
        <w:t>致：</w:t>
      </w:r>
      <w:bookmarkEnd w:id="56"/>
      <w:bookmarkEnd w:id="57"/>
      <w:r>
        <w:rPr>
          <w:rFonts w:hint="eastAsia" w:ascii="华文楷体" w:hAnsi="华文楷体" w:eastAsia="华文楷体" w:cs="华文楷体"/>
          <w:b/>
          <w:bCs/>
          <w:sz w:val="28"/>
          <w:szCs w:val="28"/>
          <w:u w:val="single"/>
          <w:lang w:eastAsia="zh-CN"/>
        </w:rPr>
        <w:t>安宁市</w:t>
      </w:r>
      <w:bookmarkEnd w:id="58"/>
      <w:bookmarkEnd w:id="59"/>
      <w:bookmarkEnd w:id="60"/>
      <w:bookmarkEnd w:id="61"/>
      <w:bookmarkEnd w:id="62"/>
      <w:bookmarkEnd w:id="63"/>
      <w:r>
        <w:rPr>
          <w:rFonts w:hint="eastAsia" w:ascii="华文楷体" w:hAnsi="华文楷体" w:eastAsia="华文楷体" w:cs="华文楷体"/>
          <w:b/>
          <w:bCs/>
          <w:sz w:val="28"/>
          <w:szCs w:val="28"/>
          <w:u w:val="single"/>
          <w:lang w:eastAsia="zh-CN"/>
        </w:rPr>
        <w:t>第一人民医院</w:t>
      </w:r>
    </w:p>
    <w:p>
      <w:pPr>
        <w:pStyle w:val="8"/>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华文楷体" w:hAnsi="华文楷体" w:eastAsia="华文楷体" w:cs="华文楷体"/>
          <w:sz w:val="24"/>
          <w:szCs w:val="24"/>
          <w:lang w:val="en-US" w:eastAsia="zh-CN"/>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color w:val="auto"/>
          <w:sz w:val="24"/>
          <w:szCs w:val="24"/>
          <w:highlight w:val="none"/>
          <w:u w:val="single"/>
          <w:lang w:val="en-US" w:eastAsia="zh-CN"/>
        </w:rPr>
        <w:t>安宁市第一人民医院I期临床试验研究中心监控视频存储服务器、存储阵列及超声波身高体重测量仪等设备购置项目     标段的</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1187" w:tblpY="19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864"/>
        <w:gridCol w:w="1448"/>
        <w:gridCol w:w="1743"/>
        <w:gridCol w:w="925"/>
        <w:gridCol w:w="871"/>
        <w:gridCol w:w="764"/>
        <w:gridCol w:w="95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trPr>
        <w:tc>
          <w:tcPr>
            <w:tcW w:w="496"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序号</w:t>
            </w:r>
          </w:p>
        </w:tc>
        <w:tc>
          <w:tcPr>
            <w:tcW w:w="18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产品名称</w:t>
            </w: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eastAsia="zh-CN"/>
              </w:rPr>
              <w:t>生产企业</w:t>
            </w: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品牌规格型号</w:t>
            </w:r>
          </w:p>
        </w:tc>
        <w:tc>
          <w:tcPr>
            <w:tcW w:w="92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数量</w:t>
            </w:r>
          </w:p>
        </w:tc>
        <w:tc>
          <w:tcPr>
            <w:tcW w:w="87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单位</w:t>
            </w:r>
          </w:p>
        </w:tc>
        <w:tc>
          <w:tcPr>
            <w:tcW w:w="764"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eastAsia="zh-CN"/>
              </w:rPr>
              <w:t>单价</w:t>
            </w:r>
          </w:p>
        </w:tc>
        <w:tc>
          <w:tcPr>
            <w:tcW w:w="95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r>
              <w:rPr>
                <w:rFonts w:hint="eastAsia" w:ascii="华文楷体" w:hAnsi="华文楷体" w:eastAsia="华文楷体" w:cs="华文楷体"/>
                <w:b w:val="0"/>
                <w:bCs w:val="0"/>
                <w:sz w:val="24"/>
                <w:szCs w:val="24"/>
                <w:lang w:val="en-US" w:eastAsia="zh-CN"/>
              </w:rPr>
              <w:t>金额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default" w:ascii="华文楷体" w:hAnsi="华文楷体" w:eastAsia="华文楷体" w:cs="华文楷体"/>
                <w:b w:val="0"/>
                <w:bCs w:val="0"/>
                <w:sz w:val="24"/>
                <w:szCs w:val="24"/>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lang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exact"/>
        </w:trPr>
        <w:tc>
          <w:tcPr>
            <w:tcW w:w="49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8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i w:val="0"/>
                <w:iCs w:val="0"/>
                <w:caps w:val="0"/>
                <w:color w:val="000000"/>
                <w:spacing w:val="0"/>
                <w:kern w:val="0"/>
                <w:sz w:val="24"/>
                <w:szCs w:val="24"/>
                <w:lang w:val="en-US" w:eastAsia="zh-CN" w:bidi="ar"/>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1743"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val="0"/>
                <w:bCs w:val="0"/>
                <w:sz w:val="24"/>
                <w:szCs w:val="24"/>
              </w:rPr>
            </w:pPr>
          </w:p>
        </w:tc>
        <w:tc>
          <w:tcPr>
            <w:tcW w:w="92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4"/>
                <w:szCs w:val="24"/>
                <w:highlight w:val="none"/>
                <w:u w:val="none"/>
                <w:vertAlign w:val="baseline"/>
                <w:lang w:val="en-US" w:eastAsia="zh-CN"/>
              </w:rPr>
            </w:pPr>
          </w:p>
        </w:tc>
        <w:tc>
          <w:tcPr>
            <w:tcW w:w="87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color w:val="auto"/>
                <w:sz w:val="28"/>
                <w:szCs w:val="28"/>
                <w:highlight w:val="none"/>
                <w:u w:val="none"/>
                <w:vertAlign w:val="baseline"/>
                <w:lang w:val="en-US" w:eastAsia="zh-CN"/>
              </w:rPr>
            </w:pPr>
          </w:p>
        </w:tc>
        <w:tc>
          <w:tcPr>
            <w:tcW w:w="76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5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9354"/>
              </w:tabs>
              <w:kinsoku/>
              <w:wordWrap/>
              <w:overflowPunct/>
              <w:topLinePunct w:val="0"/>
              <w:autoSpaceDE/>
              <w:autoSpaceDN/>
              <w:bidi w:val="0"/>
              <w:adjustRightInd/>
              <w:snapToGrid w:val="0"/>
              <w:spacing w:line="560" w:lineRule="exact"/>
              <w:jc w:val="center"/>
              <w:textAlignment w:val="auto"/>
              <w:rPr>
                <w:rFonts w:hint="eastAsia" w:ascii="华文楷体" w:hAnsi="华文楷体" w:eastAsia="华文楷体" w:cs="华文楷体"/>
                <w:b w:val="0"/>
                <w:bCs w:val="0"/>
                <w:sz w:val="24"/>
                <w:szCs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exact"/>
        </w:trPr>
        <w:tc>
          <w:tcPr>
            <w:tcW w:w="10055" w:type="dxa"/>
            <w:gridSpan w:val="9"/>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b w:val="0"/>
                <w:bCs w:val="0"/>
                <w:sz w:val="24"/>
                <w:szCs w:val="24"/>
                <w:lang w:val="en-US" w:eastAsia="zh-CN"/>
              </w:rPr>
            </w:pPr>
            <w:r>
              <w:rPr>
                <w:rFonts w:hint="eastAsia" w:ascii="华文楷体" w:hAnsi="华文楷体" w:eastAsia="华文楷体" w:cs="华文楷体"/>
                <w:b/>
                <w:bCs/>
                <w:sz w:val="24"/>
                <w:szCs w:val="24"/>
                <w:lang w:eastAsia="zh-CN"/>
              </w:rPr>
              <w:t>金额合计：小写：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；大写：</w:t>
            </w:r>
            <w:r>
              <w:rPr>
                <w:rFonts w:hint="eastAsia" w:ascii="华文楷体" w:hAnsi="华文楷体" w:eastAsia="华文楷体" w:cs="华文楷体"/>
                <w:b/>
                <w:bCs/>
                <w:sz w:val="24"/>
                <w:szCs w:val="24"/>
                <w:u w:val="single"/>
                <w:lang w:val="en-US" w:eastAsia="zh-CN"/>
              </w:rPr>
              <w:t xml:space="preserve">                           </w:t>
            </w:r>
            <w:r>
              <w:rPr>
                <w:rFonts w:hint="eastAsia" w:ascii="华文楷体" w:hAnsi="华文楷体" w:eastAsia="华文楷体" w:cs="华文楷体"/>
                <w:b/>
                <w:bCs/>
                <w:sz w:val="24"/>
                <w:szCs w:val="24"/>
                <w:lang w:val="en-US" w:eastAsia="zh-CN"/>
              </w:rPr>
              <w:t xml:space="preserve">  </w:t>
            </w:r>
            <w:r>
              <w:rPr>
                <w:rFonts w:hint="eastAsia" w:ascii="华文楷体" w:hAnsi="华文楷体" w:eastAsia="华文楷体" w:cs="华文楷体"/>
                <w:b w:val="0"/>
                <w:bCs w:val="0"/>
                <w:sz w:val="24"/>
                <w:szCs w:val="24"/>
                <w:lang w:val="en-US" w:eastAsia="zh-CN"/>
              </w:rPr>
              <w:t xml:space="preserve"> </w:t>
            </w: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r>
              <w:rPr>
                <w:rFonts w:hint="eastAsia" w:ascii="华文楷体" w:hAnsi="华文楷体" w:eastAsia="华文楷体" w:cs="华文楷体"/>
                <w:b w:val="0"/>
                <w:bCs w:val="0"/>
                <w:sz w:val="24"/>
                <w:szCs w:val="24"/>
                <w:lang w:eastAsia="zh-CN"/>
              </w:rPr>
              <w:t>其他补充说明（若有）：</w:t>
            </w: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p>
            <w:pPr>
              <w:spacing w:line="360" w:lineRule="auto"/>
              <w:rPr>
                <w:rFonts w:hint="eastAsia" w:ascii="华文楷体" w:hAnsi="华文楷体" w:eastAsia="华文楷体" w:cs="华文楷体"/>
                <w:b w:val="0"/>
                <w:bCs w:val="0"/>
                <w:sz w:val="24"/>
                <w:szCs w:val="24"/>
                <w:lang w:eastAsia="zh-CN"/>
              </w:rPr>
            </w:pPr>
          </w:p>
        </w:tc>
      </w:tr>
    </w:tbl>
    <w:p>
      <w:pPr>
        <w:spacing w:line="360" w:lineRule="auto"/>
        <w:jc w:val="both"/>
        <w:rPr>
          <w:rFonts w:hint="eastAsia" w:ascii="华文楷体" w:hAnsi="华文楷体" w:eastAsia="华文楷体" w:cs="华文楷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lang w:val="en-US" w:eastAsia="zh-CN"/>
        </w:rPr>
      </w:pPr>
      <w:bookmarkStart w:id="64" w:name="_GoBack"/>
      <w:bookmarkEnd w:id="64"/>
    </w:p>
    <w:p>
      <w:pPr>
        <w:keepNext w:val="0"/>
        <w:keepLines w:val="0"/>
        <w:pageBreakBefore w:val="0"/>
        <w:widowControl w:val="0"/>
        <w:kinsoku/>
        <w:wordWrap/>
        <w:overflowPunct/>
        <w:topLinePunct w:val="0"/>
        <w:autoSpaceDE/>
        <w:autoSpaceDN/>
        <w:bidi w:val="0"/>
        <w:adjustRightInd/>
        <w:snapToGrid/>
        <w:spacing w:line="560" w:lineRule="exact"/>
        <w:ind w:firstLine="2240" w:firstLineChars="800"/>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3F1340CC"/>
    <w:multiLevelType w:val="singleLevel"/>
    <w:tmpl w:val="3F1340CC"/>
    <w:lvl w:ilvl="0" w:tentative="0">
      <w:start w:val="1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922D31"/>
    <w:rsid w:val="01475D04"/>
    <w:rsid w:val="01F52620"/>
    <w:rsid w:val="02834FF2"/>
    <w:rsid w:val="029321C1"/>
    <w:rsid w:val="02962EDE"/>
    <w:rsid w:val="03503D6C"/>
    <w:rsid w:val="037800D1"/>
    <w:rsid w:val="04322EB9"/>
    <w:rsid w:val="04347B65"/>
    <w:rsid w:val="043B7FCA"/>
    <w:rsid w:val="04E35A1E"/>
    <w:rsid w:val="061D614D"/>
    <w:rsid w:val="06B31420"/>
    <w:rsid w:val="07595313"/>
    <w:rsid w:val="07FD6DF7"/>
    <w:rsid w:val="08955C95"/>
    <w:rsid w:val="08AF1781"/>
    <w:rsid w:val="09670477"/>
    <w:rsid w:val="0AD61B81"/>
    <w:rsid w:val="0AD83203"/>
    <w:rsid w:val="0AF15004"/>
    <w:rsid w:val="0BC60835"/>
    <w:rsid w:val="0BF75073"/>
    <w:rsid w:val="0D1A7E23"/>
    <w:rsid w:val="0E543FA7"/>
    <w:rsid w:val="0E6F197A"/>
    <w:rsid w:val="0F1E4AAF"/>
    <w:rsid w:val="1004704F"/>
    <w:rsid w:val="10762BDF"/>
    <w:rsid w:val="122009AF"/>
    <w:rsid w:val="12636977"/>
    <w:rsid w:val="12704669"/>
    <w:rsid w:val="1290609D"/>
    <w:rsid w:val="12B44329"/>
    <w:rsid w:val="12F13861"/>
    <w:rsid w:val="143A4F2F"/>
    <w:rsid w:val="144F2FB5"/>
    <w:rsid w:val="1513659E"/>
    <w:rsid w:val="155E1FBF"/>
    <w:rsid w:val="16FF4D96"/>
    <w:rsid w:val="17090292"/>
    <w:rsid w:val="17391B01"/>
    <w:rsid w:val="188B28E3"/>
    <w:rsid w:val="1A5225DD"/>
    <w:rsid w:val="1A5861A9"/>
    <w:rsid w:val="1AE30350"/>
    <w:rsid w:val="1B642891"/>
    <w:rsid w:val="1B932335"/>
    <w:rsid w:val="1BDD3C44"/>
    <w:rsid w:val="1C292AE4"/>
    <w:rsid w:val="1C5D582C"/>
    <w:rsid w:val="1D506B65"/>
    <w:rsid w:val="1DE27252"/>
    <w:rsid w:val="21750BB9"/>
    <w:rsid w:val="21B75E11"/>
    <w:rsid w:val="21D536EF"/>
    <w:rsid w:val="22210E0A"/>
    <w:rsid w:val="23480344"/>
    <w:rsid w:val="244E37D6"/>
    <w:rsid w:val="248A15BB"/>
    <w:rsid w:val="24E75EC4"/>
    <w:rsid w:val="24F20F0E"/>
    <w:rsid w:val="25041AEB"/>
    <w:rsid w:val="25257535"/>
    <w:rsid w:val="25794F64"/>
    <w:rsid w:val="25AF56A8"/>
    <w:rsid w:val="2602710D"/>
    <w:rsid w:val="269A360B"/>
    <w:rsid w:val="26C708A4"/>
    <w:rsid w:val="26E2013A"/>
    <w:rsid w:val="278C672D"/>
    <w:rsid w:val="280A2CD0"/>
    <w:rsid w:val="281B1F07"/>
    <w:rsid w:val="281D224A"/>
    <w:rsid w:val="28282E8D"/>
    <w:rsid w:val="28F65471"/>
    <w:rsid w:val="29374396"/>
    <w:rsid w:val="2AA23D90"/>
    <w:rsid w:val="2AEB6BB7"/>
    <w:rsid w:val="2B63629F"/>
    <w:rsid w:val="2BC65440"/>
    <w:rsid w:val="2CB471D5"/>
    <w:rsid w:val="2DA21723"/>
    <w:rsid w:val="2E3F51C4"/>
    <w:rsid w:val="2EFC7E35"/>
    <w:rsid w:val="2F6E0835"/>
    <w:rsid w:val="313A6169"/>
    <w:rsid w:val="321E478D"/>
    <w:rsid w:val="32425718"/>
    <w:rsid w:val="329810D4"/>
    <w:rsid w:val="33C90985"/>
    <w:rsid w:val="345873FE"/>
    <w:rsid w:val="35601B5C"/>
    <w:rsid w:val="35C247F2"/>
    <w:rsid w:val="35EA3309"/>
    <w:rsid w:val="36A4329F"/>
    <w:rsid w:val="37565737"/>
    <w:rsid w:val="38410DFC"/>
    <w:rsid w:val="38766AAA"/>
    <w:rsid w:val="38F00C52"/>
    <w:rsid w:val="39113C01"/>
    <w:rsid w:val="394E5ABB"/>
    <w:rsid w:val="3A3A3D05"/>
    <w:rsid w:val="3B0B77AD"/>
    <w:rsid w:val="3B30289A"/>
    <w:rsid w:val="3B7D557D"/>
    <w:rsid w:val="3BCB176B"/>
    <w:rsid w:val="3C2F0E1D"/>
    <w:rsid w:val="3D114B03"/>
    <w:rsid w:val="3DF5379A"/>
    <w:rsid w:val="3E0C3B84"/>
    <w:rsid w:val="3E896745"/>
    <w:rsid w:val="3ECC77BE"/>
    <w:rsid w:val="3F4F5483"/>
    <w:rsid w:val="40296E63"/>
    <w:rsid w:val="402A0309"/>
    <w:rsid w:val="409F5F96"/>
    <w:rsid w:val="41106504"/>
    <w:rsid w:val="41953229"/>
    <w:rsid w:val="422034E7"/>
    <w:rsid w:val="426F4017"/>
    <w:rsid w:val="438D13C5"/>
    <w:rsid w:val="44241CD7"/>
    <w:rsid w:val="44676AFA"/>
    <w:rsid w:val="446F6C9C"/>
    <w:rsid w:val="44B66409"/>
    <w:rsid w:val="45680BAE"/>
    <w:rsid w:val="457277D5"/>
    <w:rsid w:val="4682613E"/>
    <w:rsid w:val="47F47107"/>
    <w:rsid w:val="48EC5ABB"/>
    <w:rsid w:val="49203136"/>
    <w:rsid w:val="49FB2F07"/>
    <w:rsid w:val="4A5A3051"/>
    <w:rsid w:val="4C3D15ED"/>
    <w:rsid w:val="4C7B213A"/>
    <w:rsid w:val="4CC41C4C"/>
    <w:rsid w:val="4CD55778"/>
    <w:rsid w:val="4DE45FCD"/>
    <w:rsid w:val="4DF84F0A"/>
    <w:rsid w:val="4DFA0CB0"/>
    <w:rsid w:val="4DFE254E"/>
    <w:rsid w:val="4E2E66ED"/>
    <w:rsid w:val="4EF14EB0"/>
    <w:rsid w:val="4EF63225"/>
    <w:rsid w:val="4FFF25C4"/>
    <w:rsid w:val="506D3DCA"/>
    <w:rsid w:val="50962F12"/>
    <w:rsid w:val="50B31D37"/>
    <w:rsid w:val="50BF5967"/>
    <w:rsid w:val="51807280"/>
    <w:rsid w:val="523B68B8"/>
    <w:rsid w:val="5244074B"/>
    <w:rsid w:val="524C082A"/>
    <w:rsid w:val="52B814BD"/>
    <w:rsid w:val="534053B7"/>
    <w:rsid w:val="53962548"/>
    <w:rsid w:val="53AD61F7"/>
    <w:rsid w:val="554636FD"/>
    <w:rsid w:val="5597442B"/>
    <w:rsid w:val="55F4336C"/>
    <w:rsid w:val="55FD6E7E"/>
    <w:rsid w:val="560E24E2"/>
    <w:rsid w:val="564839BD"/>
    <w:rsid w:val="58FE3FD3"/>
    <w:rsid w:val="593C217C"/>
    <w:rsid w:val="599F73C0"/>
    <w:rsid w:val="59A94439"/>
    <w:rsid w:val="5A643739"/>
    <w:rsid w:val="5A7600BD"/>
    <w:rsid w:val="5A8738CB"/>
    <w:rsid w:val="5AEE04A2"/>
    <w:rsid w:val="5AF2343A"/>
    <w:rsid w:val="5BCC36DC"/>
    <w:rsid w:val="5D47454B"/>
    <w:rsid w:val="5D67119D"/>
    <w:rsid w:val="5D8E4C63"/>
    <w:rsid w:val="5E4D2736"/>
    <w:rsid w:val="5EFC4888"/>
    <w:rsid w:val="5F3A78F3"/>
    <w:rsid w:val="5F4E3341"/>
    <w:rsid w:val="60250735"/>
    <w:rsid w:val="607C7F1A"/>
    <w:rsid w:val="60F905B4"/>
    <w:rsid w:val="612754C0"/>
    <w:rsid w:val="614E7532"/>
    <w:rsid w:val="61503641"/>
    <w:rsid w:val="6231187C"/>
    <w:rsid w:val="62D97D14"/>
    <w:rsid w:val="62DC4D1B"/>
    <w:rsid w:val="62E01DCA"/>
    <w:rsid w:val="63C35930"/>
    <w:rsid w:val="63E13A47"/>
    <w:rsid w:val="647E2B41"/>
    <w:rsid w:val="64D462AF"/>
    <w:rsid w:val="65216151"/>
    <w:rsid w:val="652A599B"/>
    <w:rsid w:val="653D4FF7"/>
    <w:rsid w:val="65844F8D"/>
    <w:rsid w:val="6589514F"/>
    <w:rsid w:val="67155C33"/>
    <w:rsid w:val="67E763C9"/>
    <w:rsid w:val="6853570F"/>
    <w:rsid w:val="68F34846"/>
    <w:rsid w:val="691F21D5"/>
    <w:rsid w:val="69796D14"/>
    <w:rsid w:val="69AB1384"/>
    <w:rsid w:val="69AE723D"/>
    <w:rsid w:val="6A086EC1"/>
    <w:rsid w:val="6A0B073A"/>
    <w:rsid w:val="6A333703"/>
    <w:rsid w:val="6AA05986"/>
    <w:rsid w:val="6ABE50E7"/>
    <w:rsid w:val="6B15282D"/>
    <w:rsid w:val="6B480E55"/>
    <w:rsid w:val="6B6A6213"/>
    <w:rsid w:val="6B783ACA"/>
    <w:rsid w:val="6BE321F3"/>
    <w:rsid w:val="6D0A6409"/>
    <w:rsid w:val="6D413DAD"/>
    <w:rsid w:val="6D867D65"/>
    <w:rsid w:val="6E5770AB"/>
    <w:rsid w:val="6ED924EF"/>
    <w:rsid w:val="6F6F593A"/>
    <w:rsid w:val="70096E04"/>
    <w:rsid w:val="7064403B"/>
    <w:rsid w:val="707E5225"/>
    <w:rsid w:val="71615B93"/>
    <w:rsid w:val="7178316E"/>
    <w:rsid w:val="727E1BD2"/>
    <w:rsid w:val="739A6307"/>
    <w:rsid w:val="73F731C7"/>
    <w:rsid w:val="73FF59A6"/>
    <w:rsid w:val="74203FD3"/>
    <w:rsid w:val="745B1903"/>
    <w:rsid w:val="761A0506"/>
    <w:rsid w:val="76FD33E8"/>
    <w:rsid w:val="77F2017E"/>
    <w:rsid w:val="786814A1"/>
    <w:rsid w:val="7899684C"/>
    <w:rsid w:val="7ABC4F69"/>
    <w:rsid w:val="7B870E80"/>
    <w:rsid w:val="7B955A8D"/>
    <w:rsid w:val="7BB353EB"/>
    <w:rsid w:val="7CCD6BFD"/>
    <w:rsid w:val="7D4D49B8"/>
    <w:rsid w:val="7EE64A8C"/>
    <w:rsid w:val="7F453289"/>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2628</Words>
  <Characters>2730</Characters>
  <Lines>0</Lines>
  <Paragraphs>0</Paragraphs>
  <TotalTime>2</TotalTime>
  <ScaleCrop>false</ScaleCrop>
  <LinksUpToDate>false</LinksUpToDate>
  <CharactersWithSpaces>4009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2024-05-23T09:08:12Z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