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27375"/>
      <w:bookmarkStart w:id="1" w:name="_Toc1953"/>
      <w:bookmarkStart w:id="2" w:name="_Toc28373"/>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安宁市第一人民医院一次性使用吸引活检针等医用耗材采购项目</w:t>
      </w:r>
      <w:bookmarkEnd w:id="0"/>
      <w:bookmarkEnd w:id="1"/>
      <w:bookmarkEnd w:id="2"/>
    </w:p>
    <w:p>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3" w:name="_Toc22156"/>
      <w:bookmarkStart w:id="4" w:name="_Toc11021"/>
      <w:bookmarkStart w:id="5" w:name="_Toc22227"/>
      <w:bookmarkStart w:id="6" w:name="_Toc5508"/>
      <w:bookmarkStart w:id="7" w:name="_Toc20741"/>
      <w:bookmarkStart w:id="8" w:name="_Toc9230"/>
      <w:bookmarkStart w:id="9" w:name="_Toc17988"/>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3"/>
      <w:bookmarkEnd w:id="4"/>
      <w:bookmarkEnd w:id="5"/>
      <w:bookmarkEnd w:id="6"/>
      <w:bookmarkEnd w:id="7"/>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21</w:t>
      </w:r>
      <w:bookmarkEnd w:id="8"/>
      <w:bookmarkEnd w:id="9"/>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0" w:name="_Toc17121"/>
      <w:bookmarkStart w:id="11" w:name="_Toc30971"/>
      <w:bookmarkStart w:id="12" w:name="_Toc23534"/>
      <w:bookmarkStart w:id="13" w:name="_Toc1134"/>
      <w:bookmarkStart w:id="14" w:name="_Toc3978"/>
      <w:bookmarkStart w:id="15" w:name="_Toc6444"/>
      <w:bookmarkStart w:id="16" w:name="_Toc7654"/>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0"/>
      <w:bookmarkEnd w:id="11"/>
      <w:bookmarkEnd w:id="12"/>
      <w:bookmarkEnd w:id="13"/>
      <w:bookmarkEnd w:id="14"/>
      <w:bookmarkEnd w:id="15"/>
      <w:bookmarkEnd w:id="16"/>
    </w:p>
    <w:p>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p>
    <w:p>
      <w:pPr>
        <w:pStyle w:val="8"/>
        <w:pageBreakBefore w:val="0"/>
        <w:topLinePunct w:val="0"/>
        <w:bidi w:val="0"/>
        <w:snapToGrid/>
        <w:spacing w:line="240" w:lineRule="auto"/>
        <w:rPr>
          <w:rFonts w:hint="eastAsia" w:ascii="华文楷体" w:hAnsi="华文楷体" w:eastAsia="华文楷体" w:cs="华文楷体"/>
          <w:color w:val="000000" w:themeColor="text1"/>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24"/>
          <w:szCs w:val="24"/>
          <w14:textFill>
            <w14:solidFill>
              <w14:schemeClr w14:val="tx1"/>
            </w14:solidFill>
          </w14:textFill>
        </w:rPr>
      </w:pPr>
      <w:bookmarkStart w:id="17" w:name="_Toc184"/>
      <w:bookmarkEnd w:id="17"/>
      <w:bookmarkStart w:id="18" w:name="_Toc14917"/>
      <w:bookmarkEnd w:id="18"/>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_Toc12991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_Toc12991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_Toc9909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_Toc9909 \h </w:instrText>
          </w:r>
          <w:r>
            <w:fldChar w:fldCharType="separate"/>
          </w:r>
          <w:r>
            <w:t>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_Toc25107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_Toc25107 \h </w:instrText>
          </w:r>
          <w:r>
            <w:fldChar w:fldCharType="separate"/>
          </w:r>
          <w:r>
            <w:t>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_Toc1127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四、 商务要求偏离表</w:t>
          </w:r>
          <w:r>
            <w:tab/>
          </w:r>
          <w:r>
            <w:fldChar w:fldCharType="begin"/>
          </w:r>
          <w:r>
            <w:instrText xml:space="preserve"> PAGEREF _Toc1127 \h </w:instrText>
          </w:r>
          <w:r>
            <w:fldChar w:fldCharType="separate"/>
          </w:r>
          <w:r>
            <w:t>7</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_Toc4497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zh-CN" w:eastAsia="zh-CN"/>
            </w:rPr>
            <w:t>五、项目技术要求偏离表</w:t>
          </w:r>
          <w:r>
            <w:tab/>
          </w:r>
          <w:r>
            <w:fldChar w:fldCharType="begin"/>
          </w:r>
          <w:r>
            <w:instrText xml:space="preserve"> PAGEREF _Toc4497 \h </w:instrText>
          </w:r>
          <w:r>
            <w:fldChar w:fldCharType="separate"/>
          </w:r>
          <w:r>
            <w:t>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_Toc31056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六、响应人信息表</w:t>
          </w:r>
          <w:r>
            <w:tab/>
          </w:r>
          <w:r>
            <w:fldChar w:fldCharType="begin"/>
          </w:r>
          <w:r>
            <w:instrText xml:space="preserve"> PAGEREF _Toc31056 \h </w:instrText>
          </w:r>
          <w:r>
            <w:fldChar w:fldCharType="separate"/>
          </w:r>
          <w:r>
            <w:t>9</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_Toc4436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七、法定代表人(负责人)身份证明书</w:t>
          </w:r>
          <w:r>
            <w:tab/>
          </w:r>
          <w:r>
            <w:fldChar w:fldCharType="begin"/>
          </w:r>
          <w:r>
            <w:instrText xml:space="preserve"> PAGEREF _Toc4436 \h </w:instrText>
          </w:r>
          <w:r>
            <w:fldChar w:fldCharType="separate"/>
          </w:r>
          <w:r>
            <w:t>10</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_Toc9398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八、法定代表人（负责人）授权委托书</w:t>
          </w:r>
          <w:r>
            <w:tab/>
          </w:r>
          <w:r>
            <w:fldChar w:fldCharType="begin"/>
          </w:r>
          <w:r>
            <w:instrText xml:space="preserve"> PAGEREF _Toc9398 \h </w:instrText>
          </w:r>
          <w:r>
            <w:fldChar w:fldCharType="separate"/>
          </w:r>
          <w:r>
            <w:t>11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_Toc15539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九、质量保证书</w:t>
          </w:r>
          <w:r>
            <w:tab/>
          </w:r>
          <w:r>
            <w:fldChar w:fldCharType="begin"/>
          </w:r>
          <w:r>
            <w:instrText xml:space="preserve"> PAGEREF _Toc15539 \h </w:instrText>
          </w:r>
          <w:r>
            <w:fldChar w:fldCharType="separate"/>
          </w:r>
          <w:r>
            <w:t>12</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_Toc4349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十、经销商资质文件</w:t>
          </w:r>
          <w:r>
            <w:tab/>
          </w:r>
          <w:r>
            <w:fldChar w:fldCharType="begin"/>
          </w:r>
          <w:r>
            <w:instrText xml:space="preserve"> PAGEREF _Toc4349 \h </w:instrText>
          </w:r>
          <w:r>
            <w:fldChar w:fldCharType="separate"/>
          </w:r>
          <w:r>
            <w:t>13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_Toc18253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十一、生产厂家及产品资质</w:t>
          </w:r>
          <w:r>
            <w:tab/>
          </w:r>
          <w:r>
            <w:fldChar w:fldCharType="begin"/>
          </w:r>
          <w:r>
            <w:instrText xml:space="preserve"> PAGEREF _Toc18253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_Toc13064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十二、近三年类似供货业绩</w:t>
          </w:r>
          <w:r>
            <w:tab/>
          </w:r>
          <w:r>
            <w:fldChar w:fldCharType="begin"/>
          </w:r>
          <w:r>
            <w:instrText xml:space="preserve"> PAGEREF _Toc13064 \h </w:instrText>
          </w:r>
          <w:r>
            <w:fldChar w:fldCharType="separate"/>
          </w:r>
          <w:r>
            <w:t>15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_Toc2886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val="0"/>
              <w:kern w:val="2"/>
              <w:szCs w:val="24"/>
              <w:lang w:val="en-US" w:eastAsia="zh-CN" w:bidi="ar-SA"/>
            </w:rPr>
            <w:t>提供近3年省内外主要用户名单及至少4个类似业绩证明材料（发票或合同），有三甲医院业绩的首选提供不同的三甲医院业绩）</w:t>
          </w:r>
          <w:r>
            <w:tab/>
          </w:r>
          <w:r>
            <w:fldChar w:fldCharType="begin"/>
          </w:r>
          <w:r>
            <w:instrText xml:space="preserve"> PAGEREF _Toc2886 \h </w:instrText>
          </w:r>
          <w:r>
            <w:fldChar w:fldCharType="separate"/>
          </w:r>
          <w:r>
            <w:t>15</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_Toc6639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十三、服务方案</w:t>
          </w:r>
          <w:r>
            <w:tab/>
          </w:r>
          <w:r>
            <w:fldChar w:fldCharType="begin"/>
          </w:r>
          <w:r>
            <w:instrText xml:space="preserve"> PAGEREF _Toc6639 \h </w:instrText>
          </w:r>
          <w:r>
            <w:fldChar w:fldCharType="separate"/>
          </w:r>
          <w:r>
            <w:t>16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_Toc10935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十四、备品备件及长期最优惠供货价格</w:t>
          </w:r>
          <w:r>
            <w:tab/>
          </w:r>
          <w:r>
            <w:fldChar w:fldCharType="begin"/>
          </w:r>
          <w:r>
            <w:instrText xml:space="preserve"> PAGEREF _Toc10935 \h </w:instrText>
          </w:r>
          <w:r>
            <w:fldChar w:fldCharType="separate"/>
          </w:r>
          <w:r>
            <w:t>17</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_Toc31044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十五、响应人认为有必要提供的其他文件</w:t>
          </w:r>
          <w:r>
            <w:tab/>
          </w:r>
          <w:r>
            <w:fldChar w:fldCharType="begin"/>
          </w:r>
          <w:r>
            <w:instrText xml:space="preserve"> PAGEREF _Toc31044 \h </w:instrText>
          </w:r>
          <w:r>
            <w:fldChar w:fldCharType="separate"/>
          </w:r>
          <w:r>
            <w:t>18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_Toc9571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十六：二次报价承诺书</w:t>
          </w:r>
          <w:r>
            <w:tab/>
          </w:r>
          <w:r>
            <w:fldChar w:fldCharType="begin"/>
          </w:r>
          <w:r>
            <w:instrText xml:space="preserve"> PAGEREF _Toc9571 \h </w:instrText>
          </w:r>
          <w:r>
            <w:fldChar w:fldCharType="separate"/>
          </w:r>
          <w:r>
            <w:t>19</w:t>
          </w:r>
          <w:r>
            <w:fldChar w:fldCharType="end"/>
          </w:r>
          <w:r>
            <w:rPr>
              <w:rFonts w:hint="eastAsia" w:ascii="华文楷体" w:hAnsi="华文楷体" w:eastAsia="华文楷体" w:cs="华文楷体"/>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19" w:name="_Toc12991"/>
      <w:r>
        <w:rPr>
          <w:rFonts w:hint="eastAsia" w:ascii="华文楷体" w:hAnsi="华文楷体" w:eastAsia="华文楷体" w:cs="华文楷体"/>
          <w:color w:val="FF0000"/>
          <w:sz w:val="32"/>
          <w:szCs w:val="32"/>
          <w:lang w:val="en-US" w:eastAsia="zh-CN"/>
        </w:rPr>
        <w:t>一、开标一览表</w:t>
      </w:r>
      <w:bookmarkEnd w:id="19"/>
    </w:p>
    <w:p>
      <w:pPr>
        <w:pageBreakBefore w:val="0"/>
        <w:topLinePunct w:val="0"/>
        <w:bidi w:val="0"/>
        <w:snapToGrid/>
        <w:spacing w:line="240" w:lineRule="auto"/>
        <w:rPr>
          <w:rFonts w:hint="eastAsia" w:ascii="华文楷体" w:hAnsi="华文楷体" w:eastAsia="华文楷体" w:cs="华文楷体"/>
          <w:sz w:val="28"/>
          <w:szCs w:val="28"/>
        </w:rPr>
      </w:pPr>
      <w:r>
        <w:rPr>
          <w:rFonts w:hint="eastAsia" w:ascii="华文楷体" w:hAnsi="华文楷体" w:eastAsia="华文楷体" w:cs="华文楷体"/>
          <w:sz w:val="28"/>
          <w:szCs w:val="28"/>
        </w:rPr>
        <w:t>项目名称：</w:t>
      </w:r>
      <w:r>
        <w:rPr>
          <w:rFonts w:hint="eastAsia" w:ascii="华文楷体" w:hAnsi="华文楷体" w:eastAsia="华文楷体" w:cs="华文楷体"/>
          <w:b w:val="0"/>
          <w:bCs w:val="0"/>
          <w:color w:val="auto"/>
          <w:kern w:val="2"/>
          <w:sz w:val="28"/>
          <w:szCs w:val="28"/>
          <w:highlight w:val="none"/>
          <w:u w:val="single"/>
          <w:lang w:val="en-US" w:eastAsia="zh-CN" w:bidi="ar-SA"/>
        </w:rPr>
        <w:t>安宁市第一人民医院一次性使用吸引活检针等医用耗材采购项目</w:t>
      </w:r>
    </w:p>
    <w:tbl>
      <w:tblPr>
        <w:tblStyle w:val="17"/>
        <w:tblpPr w:leftFromText="180" w:rightFromText="180" w:vertAnchor="text" w:horzAnchor="page" w:tblpX="878" w:tblpY="195"/>
        <w:tblOverlap w:val="never"/>
        <w:tblW w:w="15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1602"/>
        <w:gridCol w:w="729"/>
        <w:gridCol w:w="1731"/>
        <w:gridCol w:w="2175"/>
        <w:gridCol w:w="1515"/>
        <w:gridCol w:w="1440"/>
        <w:gridCol w:w="690"/>
        <w:gridCol w:w="1065"/>
        <w:gridCol w:w="1110"/>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72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是否挂网采购</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投标单价（元）</w:t>
            </w: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p>
          <w:p>
            <w:pPr>
              <w:spacing w:line="280" w:lineRule="exact"/>
              <w:jc w:val="center"/>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2615" w:type="dxa"/>
            <w:gridSpan w:val="10"/>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投标产品单价汇总金额合计</w:t>
            </w: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 2. 本表应盖单位鲜章，法定代表人签名。</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0" w:name="_Toc18551"/>
      <w:bookmarkStart w:id="21" w:name="_Toc9909"/>
      <w:r>
        <w:rPr>
          <w:rFonts w:hint="eastAsia" w:ascii="华文楷体" w:hAnsi="华文楷体" w:eastAsia="华文楷体" w:cs="华文楷体"/>
          <w:color w:val="FF0000"/>
          <w:sz w:val="32"/>
          <w:szCs w:val="32"/>
          <w:lang w:val="en-US" w:eastAsia="zh-CN"/>
        </w:rPr>
        <w:t>二、响应函</w:t>
      </w:r>
      <w:bookmarkEnd w:id="20"/>
      <w:bookmarkEnd w:id="21"/>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安宁市第一人民医院一次性使用吸引活检针等医用耗材采购项目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ANYGT-YNTP-2024N21 </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pP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25107"/>
      <w:bookmarkStart w:id="23" w:name="_Toc8519"/>
      <w:bookmarkStart w:id="24" w:name="_Toc25991"/>
      <w:r>
        <w:rPr>
          <w:rFonts w:hint="eastAsia" w:ascii="华文楷体" w:hAnsi="华文楷体" w:eastAsia="华文楷体" w:cs="华文楷体"/>
          <w:color w:val="FF0000"/>
          <w:sz w:val="32"/>
          <w:szCs w:val="32"/>
          <w:lang w:val="en-US" w:eastAsia="zh-CN"/>
        </w:rPr>
        <w:t>三、响应产品技术参数说明</w:t>
      </w:r>
      <w:bookmarkEnd w:id="22"/>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r>
    </w:tbl>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pPr>
        <w:rPr>
          <w:rFonts w:hint="eastAsia" w:ascii="华文楷体" w:hAnsi="华文楷体" w:eastAsia="华文楷体" w:cs="华文楷体"/>
          <w:lang w:val="zh-CN" w:eastAsia="zh-CN"/>
        </w:rPr>
      </w:pPr>
    </w:p>
    <w:p>
      <w:pPr>
        <w:spacing w:line="480" w:lineRule="auto"/>
        <w:jc w:val="center"/>
        <w:outlineLvl w:val="9"/>
        <w:rPr>
          <w:rFonts w:hint="eastAsia" w:ascii="宋体" w:hAnsi="宋体" w:eastAsia="宋体" w:cs="宋体"/>
          <w:color w:val="auto"/>
          <w:sz w:val="28"/>
          <w:szCs w:val="28"/>
          <w:highlight w:val="none"/>
        </w:rPr>
      </w:pPr>
    </w:p>
    <w:p>
      <w:pPr>
        <w:numPr>
          <w:ilvl w:val="0"/>
          <w:numId w:val="2"/>
        </w:numPr>
        <w:spacing w:line="480" w:lineRule="auto"/>
        <w:jc w:val="center"/>
        <w:outlineLvl w:val="0"/>
        <w:rPr>
          <w:rFonts w:hint="eastAsia" w:ascii="华文楷体" w:hAnsi="华文楷体" w:eastAsia="华文楷体" w:cs="华文楷体"/>
          <w:b/>
          <w:color w:val="FF0000"/>
          <w:kern w:val="0"/>
          <w:sz w:val="32"/>
          <w:szCs w:val="32"/>
          <w:lang w:val="zh-CN" w:eastAsia="zh-CN" w:bidi="ar-SA"/>
        </w:rPr>
      </w:pPr>
      <w:bookmarkStart w:id="25" w:name="_Toc1127"/>
      <w:r>
        <w:rPr>
          <w:rFonts w:hint="eastAsia" w:ascii="华文楷体" w:hAnsi="华文楷体" w:eastAsia="华文楷体" w:cs="华文楷体"/>
          <w:b/>
          <w:color w:val="FF0000"/>
          <w:kern w:val="0"/>
          <w:sz w:val="32"/>
          <w:szCs w:val="32"/>
          <w:lang w:val="zh-CN" w:eastAsia="zh-CN" w:bidi="ar-SA"/>
        </w:rPr>
        <w:t>商务要求偏离表</w:t>
      </w:r>
      <w:bookmarkEnd w:id="25"/>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
        <w:gridCol w:w="4074"/>
        <w:gridCol w:w="4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3"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4074"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谈判文件的商务条款要求（服务内容）</w:t>
            </w:r>
          </w:p>
        </w:tc>
        <w:tc>
          <w:tcPr>
            <w:tcW w:w="4650"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响应文件的商务条款（拟投服务内容）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3"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1</w:t>
            </w:r>
          </w:p>
        </w:tc>
        <w:tc>
          <w:tcPr>
            <w:tcW w:w="407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center"/>
              <w:textAlignment w:val="auto"/>
              <w:rPr>
                <w:rFonts w:hint="default" w:ascii="华文楷体" w:hAnsi="华文楷体" w:eastAsia="华文楷体" w:cs="华文楷体"/>
                <w:b w:val="0"/>
                <w:bCs w:val="0"/>
                <w:kern w:val="2"/>
                <w:sz w:val="21"/>
                <w:szCs w:val="21"/>
                <w:u w:val="none"/>
                <w:lang w:val="en-US" w:eastAsia="zh-CN" w:bidi="ar-SA"/>
              </w:rPr>
            </w:pPr>
          </w:p>
        </w:tc>
        <w:tc>
          <w:tcPr>
            <w:tcW w:w="4650"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3"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rPr>
                <w:rFonts w:hint="default"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w:t>
            </w:r>
          </w:p>
        </w:tc>
        <w:tc>
          <w:tcPr>
            <w:tcW w:w="4074"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rPr>
                <w:rFonts w:hint="eastAsia" w:ascii="华文楷体" w:hAnsi="华文楷体" w:eastAsia="华文楷体" w:cs="华文楷体"/>
                <w:b w:val="0"/>
                <w:bCs w:val="0"/>
                <w:kern w:val="2"/>
                <w:sz w:val="21"/>
                <w:szCs w:val="21"/>
                <w:u w:val="none"/>
                <w:lang w:val="en-US" w:eastAsia="zh-CN" w:bidi="ar-SA"/>
              </w:rPr>
            </w:pPr>
          </w:p>
        </w:tc>
        <w:tc>
          <w:tcPr>
            <w:tcW w:w="4650" w:type="dxa"/>
            <w:tcBorders>
              <w:top w:val="single" w:color="auto" w:sz="4" w:space="0"/>
              <w:left w:val="single" w:color="auto" w:sz="4" w:space="0"/>
              <w:bottom w:val="single" w:color="auto" w:sz="4" w:space="0"/>
              <w:right w:val="single" w:color="auto" w:sz="4" w:space="0"/>
            </w:tcBorders>
            <w:noWrap w:val="0"/>
            <w:vAlign w:val="center"/>
          </w:tcPr>
          <w:p>
            <w:pPr>
              <w:pStyle w:val="25"/>
              <w:spacing w:line="36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3" w:type="dxa"/>
            <w:tcBorders>
              <w:top w:val="single" w:color="auto" w:sz="4" w:space="0"/>
              <w:left w:val="single" w:color="auto" w:sz="4" w:space="0"/>
              <w:bottom w:val="single" w:color="auto" w:sz="4" w:space="0"/>
              <w:right w:val="single" w:color="auto" w:sz="4" w:space="0"/>
            </w:tcBorders>
            <w:noWrap w:val="0"/>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w:t>
            </w:r>
          </w:p>
        </w:tc>
        <w:tc>
          <w:tcPr>
            <w:tcW w:w="4074" w:type="dxa"/>
            <w:tcBorders>
              <w:top w:val="single" w:color="auto" w:sz="4" w:space="0"/>
              <w:left w:val="single" w:color="auto" w:sz="4" w:space="0"/>
              <w:bottom w:val="single" w:color="auto" w:sz="4" w:space="0"/>
              <w:right w:val="single" w:color="auto" w:sz="4" w:space="0"/>
            </w:tcBorders>
            <w:noWrap w:val="0"/>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4650" w:type="dxa"/>
            <w:tcBorders>
              <w:top w:val="single" w:color="auto" w:sz="4" w:space="0"/>
              <w:left w:val="single" w:color="auto" w:sz="4" w:space="0"/>
              <w:bottom w:val="single" w:color="auto" w:sz="4" w:space="0"/>
              <w:right w:val="single" w:color="auto" w:sz="4" w:space="0"/>
            </w:tcBorders>
            <w:noWrap w:val="0"/>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903" w:type="dxa"/>
            <w:tcBorders>
              <w:top w:val="single" w:color="auto" w:sz="4" w:space="0"/>
              <w:left w:val="single" w:color="auto" w:sz="4" w:space="0"/>
              <w:bottom w:val="single" w:color="auto" w:sz="4" w:space="0"/>
              <w:right w:val="single" w:color="auto" w:sz="4" w:space="0"/>
            </w:tcBorders>
            <w:noWrap w:val="0"/>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w:t>
            </w:r>
          </w:p>
        </w:tc>
        <w:tc>
          <w:tcPr>
            <w:tcW w:w="4074" w:type="dxa"/>
            <w:tcBorders>
              <w:top w:val="single" w:color="auto" w:sz="4" w:space="0"/>
              <w:left w:val="single" w:color="auto" w:sz="4" w:space="0"/>
              <w:bottom w:val="single" w:color="auto" w:sz="4" w:space="0"/>
              <w:right w:val="single" w:color="auto" w:sz="4" w:space="0"/>
            </w:tcBorders>
            <w:noWrap w:val="0"/>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4650" w:type="dxa"/>
            <w:tcBorders>
              <w:top w:val="single" w:color="auto" w:sz="4" w:space="0"/>
              <w:left w:val="single" w:color="auto" w:sz="4" w:space="0"/>
              <w:bottom w:val="single" w:color="auto" w:sz="4" w:space="0"/>
              <w:right w:val="single" w:color="auto" w:sz="4" w:space="0"/>
            </w:tcBorders>
            <w:noWrap w:val="0"/>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注：1、响应人依据采购公告中的“商务要求”，根据自身情况进行应答。</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pPr>
        <w:pStyle w:val="3"/>
        <w:pageBreakBefore w:val="0"/>
        <w:numPr>
          <w:ilvl w:val="1"/>
          <w:numId w:val="0"/>
        </w:numPr>
        <w:topLinePunct w:val="0"/>
        <w:bidi w:val="0"/>
        <w:snapToGrid/>
        <w:spacing w:line="240" w:lineRule="auto"/>
        <w:jc w:val="both"/>
        <w:outlineLvl w:val="9"/>
        <w:rPr>
          <w:rFonts w:hint="eastAsia" w:ascii="华文楷体" w:hAnsi="华文楷体" w:eastAsia="华文楷体" w:cs="华文楷体"/>
          <w:color w:val="FF0000"/>
          <w:sz w:val="32"/>
          <w:szCs w:val="32"/>
          <w:lang w:val="zh-CN" w:eastAsia="zh-CN"/>
        </w:rPr>
      </w:pPr>
    </w:p>
    <w:p>
      <w:pPr>
        <w:pStyle w:val="3"/>
        <w:pageBreakBefore w:val="0"/>
        <w:numPr>
          <w:ilvl w:val="1"/>
          <w:numId w:val="0"/>
        </w:numPr>
        <w:topLinePunct w:val="0"/>
        <w:bidi w:val="0"/>
        <w:snapToGrid/>
        <w:spacing w:line="240" w:lineRule="auto"/>
        <w:jc w:val="center"/>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line="240" w:lineRule="auto"/>
        <w:jc w:val="center"/>
        <w:textAlignment w:val="baseline"/>
        <w:outlineLvl w:val="9"/>
        <w:rPr>
          <w:rFonts w:hint="eastAsia" w:ascii="华文楷体" w:hAnsi="华文楷体" w:eastAsia="华文楷体" w:cs="华文楷体"/>
          <w:color w:val="FF0000"/>
          <w:sz w:val="32"/>
          <w:szCs w:val="32"/>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line="240" w:lineRule="auto"/>
        <w:jc w:val="center"/>
        <w:textAlignment w:val="baseline"/>
        <w:outlineLvl w:val="0"/>
        <w:rPr>
          <w:rFonts w:hint="eastAsia" w:ascii="华文楷体" w:hAnsi="华文楷体" w:eastAsia="华文楷体" w:cs="华文楷体"/>
          <w:color w:val="FF0000"/>
          <w:sz w:val="32"/>
          <w:szCs w:val="32"/>
          <w:lang w:val="en-US" w:eastAsia="zh-CN"/>
        </w:rPr>
      </w:pPr>
      <w:bookmarkStart w:id="26" w:name="_Toc4497"/>
      <w:r>
        <w:rPr>
          <w:rFonts w:hint="eastAsia" w:ascii="华文楷体" w:hAnsi="华文楷体" w:eastAsia="华文楷体" w:cs="华文楷体"/>
          <w:color w:val="FF0000"/>
          <w:sz w:val="32"/>
          <w:szCs w:val="32"/>
          <w:lang w:val="zh-CN" w:eastAsia="zh-CN"/>
        </w:rPr>
        <w:t>五、项目技术要求偏离表</w:t>
      </w:r>
      <w:bookmarkEnd w:id="23"/>
      <w:bookmarkEnd w:id="26"/>
    </w:p>
    <w:p>
      <w:pPr>
        <w:pStyle w:val="10"/>
        <w:pageBreakBefore w:val="0"/>
        <w:topLinePunct w:val="0"/>
        <w:bidi w:val="0"/>
        <w:snapToGrid/>
        <w:spacing w:line="240" w:lineRule="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项目名称：安宁市第一人民医院一次性使用吸引活检针等医用耗材采购项目                 采购编号： ANYGT-YNTP-2024N21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080"/>
        <w:gridCol w:w="2340"/>
        <w:gridCol w:w="2484"/>
        <w:gridCol w:w="1260"/>
        <w:gridCol w:w="1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货物名称</w:t>
            </w: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采购文件技术规范、要求</w:t>
            </w: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响应品牌、型号、技术参数及配置</w:t>
            </w:r>
          </w:p>
        </w:tc>
        <w:tc>
          <w:tcPr>
            <w:tcW w:w="126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1008"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08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项目清单及技术指标》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Style w:val="4"/>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zh-CN" w:eastAsia="zh-CN" w:bidi="ar-SA"/>
        </w:rPr>
      </w:pPr>
      <w:bookmarkStart w:id="27" w:name="_Toc13398"/>
      <w:bookmarkStart w:id="28" w:name="_Toc87445179"/>
      <w:bookmarkStart w:id="29" w:name="_Toc493600038"/>
      <w:bookmarkStart w:id="30" w:name="_Toc31056"/>
      <w:bookmarkStart w:id="31" w:name="_Toc10217844"/>
      <w:bookmarkStart w:id="32" w:name="_Toc20950"/>
      <w:bookmarkStart w:id="33" w:name="_Toc389130506"/>
      <w:bookmarkStart w:id="34" w:name="_Toc351391183"/>
      <w:bookmarkStart w:id="35" w:name="_Toc205269530"/>
      <w:r>
        <w:rPr>
          <w:rFonts w:hint="eastAsia" w:ascii="华文楷体" w:hAnsi="华文楷体" w:eastAsia="华文楷体" w:cs="华文楷体"/>
          <w:b/>
          <w:color w:val="FF0000"/>
          <w:kern w:val="0"/>
          <w:sz w:val="32"/>
          <w:szCs w:val="32"/>
          <w:lang w:val="zh-CN" w:eastAsia="zh-CN" w:bidi="ar-SA"/>
        </w:rPr>
        <w:t>六、响应人信息表</w:t>
      </w:r>
      <w:bookmarkEnd w:id="27"/>
      <w:bookmarkEnd w:id="28"/>
      <w:bookmarkEnd w:id="29"/>
      <w:bookmarkEnd w:id="30"/>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6" w:name="OLE_LINK22"/>
            <w:bookmarkStart w:id="37"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6"/>
            <w:bookmarkEnd w:id="37"/>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8" w:name="_Toc4436"/>
      <w:r>
        <w:rPr>
          <w:rFonts w:hint="eastAsia" w:ascii="华文楷体" w:hAnsi="华文楷体" w:eastAsia="华文楷体" w:cs="华文楷体"/>
          <w:color w:val="FF0000"/>
          <w:sz w:val="32"/>
          <w:szCs w:val="32"/>
          <w:lang w:val="en-US" w:eastAsia="zh-CN"/>
        </w:rPr>
        <w:t>七、法定代表人(负责人)身份证明书</w:t>
      </w:r>
      <w:bookmarkEnd w:id="31"/>
      <w:bookmarkEnd w:id="32"/>
      <w:bookmarkEnd w:id="33"/>
      <w:bookmarkEnd w:id="34"/>
      <w:bookmarkEnd w:id="35"/>
      <w:bookmarkEnd w:id="38"/>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3"/>
        <w:pageBreakBefore w:val="0"/>
        <w:topLinePunct w:val="0"/>
        <w:bidi w:val="0"/>
        <w:snapToGrid/>
        <w:spacing w:line="240" w:lineRule="auto"/>
        <w:rPr>
          <w:rFonts w:hint="eastAsia" w:ascii="华文楷体" w:hAnsi="华文楷体" w:eastAsia="华文楷体" w:cs="华文楷体"/>
          <w:b/>
          <w:bCs/>
          <w:sz w:val="30"/>
          <w:szCs w:val="30"/>
        </w:rPr>
      </w:pPr>
    </w:p>
    <w:p>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39" w:name="_Toc21393"/>
      <w:bookmarkStart w:id="40" w:name="_Toc9398"/>
      <w:r>
        <w:rPr>
          <w:rFonts w:hint="eastAsia" w:ascii="华文楷体" w:hAnsi="华文楷体" w:eastAsia="华文楷体" w:cs="华文楷体"/>
          <w:b/>
          <w:color w:val="FF0000"/>
          <w:kern w:val="0"/>
          <w:sz w:val="32"/>
          <w:szCs w:val="32"/>
          <w:lang w:val="en-US" w:eastAsia="zh-CN" w:bidi="ar-SA"/>
        </w:rPr>
        <w:t>八、法定代表人（负责人）授权委托书</w:t>
      </w:r>
      <w:bookmarkEnd w:id="39"/>
      <w:bookmarkEnd w:id="40"/>
    </w:p>
    <w:p>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kern w:val="2"/>
          <w:sz w:val="24"/>
          <w:szCs w:val="24"/>
          <w:u w:val="none"/>
          <w:lang w:val="en-US" w:eastAsia="zh-CN" w:bidi="ar-SA"/>
        </w:rPr>
        <w:t>安宁市第一人民医院一次性使用吸引活检针等医用耗材采购项目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1" w:name="_Toc15539"/>
      <w:r>
        <w:rPr>
          <w:rFonts w:hint="eastAsia" w:ascii="华文楷体" w:hAnsi="华文楷体" w:eastAsia="华文楷体" w:cs="华文楷体"/>
          <w:b/>
          <w:color w:val="FF0000"/>
          <w:kern w:val="0"/>
          <w:sz w:val="32"/>
          <w:szCs w:val="32"/>
          <w:lang w:val="en-US" w:eastAsia="zh-CN" w:bidi="ar-SA"/>
        </w:rPr>
        <w:t>九、质量保证书</w:t>
      </w:r>
      <w:bookmarkEnd w:id="41"/>
    </w:p>
    <w:p>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b w:val="0"/>
          <w:bCs w:val="0"/>
          <w:kern w:val="2"/>
          <w:sz w:val="24"/>
          <w:szCs w:val="24"/>
          <w:u w:val="single"/>
          <w:lang w:val="en-US" w:eastAsia="zh-CN" w:bidi="ar-SA"/>
        </w:rPr>
        <w:t>安宁市第一人民医院一次性使用吸引活检针等医用耗材采购项目</w:t>
      </w:r>
      <w:r>
        <w:rPr>
          <w:rFonts w:hint="eastAsia" w:ascii="华文楷体" w:hAnsi="华文楷体" w:eastAsia="华文楷体" w:cs="华文楷体"/>
          <w:b w:val="0"/>
          <w:bCs w:val="0"/>
          <w:kern w:val="2"/>
          <w:sz w:val="24"/>
          <w:szCs w:val="24"/>
          <w:u w:val="none"/>
          <w:lang w:val="en-US" w:eastAsia="zh-CN" w:bidi="ar-SA"/>
        </w:rPr>
        <w:t xml:space="preserve"> </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ANYGT-YNTP-2024N21</w:t>
      </w:r>
      <w:r>
        <w:rPr>
          <w:rFonts w:hint="eastAsia" w:ascii="华文楷体" w:hAnsi="华文楷体" w:eastAsia="华文楷体" w:cs="华文楷体"/>
          <w:color w:val="000000"/>
          <w:sz w:val="24"/>
          <w:szCs w:val="24"/>
          <w:highlight w:val="none"/>
        </w:rPr>
        <w:t>）提供的质量保证证明。</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2、提供的货物符合响应文件承诺和所签合同规定的技术要求；</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8"/>
        <w:rPr>
          <w:rFonts w:hint="eastAsia" w:ascii="华文楷体" w:hAnsi="华文楷体" w:eastAsia="华文楷体" w:cs="华文楷体"/>
          <w:sz w:val="32"/>
          <w:szCs w:val="32"/>
          <w:lang w:val="en-US" w:eastAsia="zh-CN"/>
        </w:rPr>
      </w:pPr>
    </w:p>
    <w:p>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2" w:name="_Toc4349"/>
      <w:r>
        <w:rPr>
          <w:rFonts w:hint="eastAsia" w:ascii="华文楷体" w:hAnsi="华文楷体" w:eastAsia="华文楷体" w:cs="华文楷体"/>
          <w:b/>
          <w:color w:val="FF0000"/>
          <w:kern w:val="0"/>
          <w:sz w:val="32"/>
          <w:szCs w:val="32"/>
          <w:lang w:val="en-US" w:eastAsia="zh-CN" w:bidi="ar-SA"/>
        </w:rPr>
        <w:t>十、经销商资质文件</w:t>
      </w:r>
      <w:bookmarkEnd w:id="42"/>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复印件、医疗器械经营许可证、第二类医疗器械经营备案凭证等，需加盖公章），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3" w:name="_Toc18253"/>
      <w:r>
        <w:rPr>
          <w:rFonts w:hint="eastAsia" w:ascii="华文楷体" w:hAnsi="华文楷体" w:eastAsia="华文楷体" w:cs="华文楷体"/>
          <w:b/>
          <w:color w:val="FF0000"/>
          <w:kern w:val="0"/>
          <w:sz w:val="32"/>
          <w:szCs w:val="32"/>
          <w:lang w:val="en-US" w:eastAsia="zh-CN" w:bidi="ar-SA"/>
        </w:rPr>
        <w:t>十一、生产厂家及产品资质</w:t>
      </w:r>
      <w:bookmarkEnd w:id="43"/>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提供：①医疗器械生产许可证、②医疗器械产品注册证、注册登记表及其附件、③产品技术资料（含产品彩页、产品说明书等）、④其他资质（加盖公章）</w:t>
      </w: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jc w:val="center"/>
        <w:textAlignment w:val="baseline"/>
        <w:outlineLvl w:val="0"/>
        <w:rPr>
          <w:rFonts w:hint="eastAsia" w:ascii="华文楷体" w:hAnsi="华文楷体" w:eastAsia="华文楷体" w:cs="华文楷体"/>
          <w:b/>
          <w:color w:val="FF0000"/>
          <w:kern w:val="0"/>
          <w:sz w:val="32"/>
          <w:szCs w:val="32"/>
          <w:lang w:val="en-US" w:eastAsia="zh-CN" w:bidi="ar-SA"/>
        </w:rPr>
      </w:pPr>
      <w:bookmarkStart w:id="44" w:name="_Toc13064"/>
      <w:r>
        <w:rPr>
          <w:rFonts w:hint="eastAsia" w:ascii="华文楷体" w:hAnsi="华文楷体" w:eastAsia="华文楷体" w:cs="华文楷体"/>
          <w:b/>
          <w:color w:val="FF0000"/>
          <w:kern w:val="0"/>
          <w:sz w:val="32"/>
          <w:szCs w:val="32"/>
          <w:lang w:val="en-US" w:eastAsia="zh-CN" w:bidi="ar-SA"/>
        </w:rPr>
        <w:t>十二、近三年类似供货业绩</w:t>
      </w:r>
      <w:bookmarkEnd w:id="44"/>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bookmarkStart w:id="45" w:name="_Toc2886"/>
      <w:r>
        <w:rPr>
          <w:rFonts w:hint="eastAsia" w:ascii="华文楷体" w:hAnsi="华文楷体" w:eastAsia="华文楷体" w:cs="华文楷体"/>
          <w:b w:val="0"/>
          <w:bCs w:val="0"/>
          <w:kern w:val="2"/>
          <w:sz w:val="24"/>
          <w:szCs w:val="24"/>
          <w:u w:val="none"/>
          <w:lang w:val="en-US" w:eastAsia="zh-CN" w:bidi="ar-SA"/>
        </w:rPr>
        <w:t>提供近3年省内外主要用户名单及至少4个类似业绩证明材料（发票或合同），有三甲医院业绩的首选提供不同的三甲医院业绩）</w:t>
      </w:r>
      <w:bookmarkEnd w:id="45"/>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4"/>
    <w:p>
      <w:pPr>
        <w:pStyle w:val="3"/>
        <w:pageBreakBefore w:val="0"/>
        <w:numPr>
          <w:ilvl w:val="1"/>
          <w:numId w:val="0"/>
        </w:numPr>
        <w:topLinePunct w:val="0"/>
        <w:bidi w:val="0"/>
        <w:snapToGrid/>
        <w:spacing w:line="240" w:lineRule="auto"/>
        <w:jc w:val="center"/>
        <w:outlineLvl w:val="9"/>
        <w:rPr>
          <w:rFonts w:hint="eastAsia" w:ascii="华文楷体" w:hAnsi="华文楷体" w:eastAsia="华文楷体" w:cs="华文楷体"/>
          <w:b/>
          <w:color w:val="FF0000"/>
          <w:kern w:val="0"/>
          <w:sz w:val="32"/>
          <w:szCs w:val="32"/>
          <w:lang w:val="en-US" w:eastAsia="zh-CN" w:bidi="ar-SA"/>
        </w:rPr>
      </w:pPr>
      <w:bookmarkStart w:id="46" w:name="_Toc2790"/>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7" w:name="_Toc6639"/>
      <w:r>
        <w:rPr>
          <w:rFonts w:hint="eastAsia" w:ascii="华文楷体" w:hAnsi="华文楷体" w:eastAsia="华文楷体" w:cs="华文楷体"/>
          <w:b/>
          <w:color w:val="FF0000"/>
          <w:kern w:val="0"/>
          <w:sz w:val="32"/>
          <w:szCs w:val="32"/>
          <w:lang w:val="en-US" w:eastAsia="zh-CN" w:bidi="ar-SA"/>
        </w:rPr>
        <w:t>十三、服务方案</w:t>
      </w:r>
      <w:bookmarkEnd w:id="46"/>
      <w:bookmarkEnd w:id="47"/>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8" w:name="_Toc26889"/>
      <w:bookmarkStart w:id="49" w:name="_Toc10935"/>
      <w:r>
        <w:rPr>
          <w:rFonts w:hint="eastAsia" w:ascii="华文楷体" w:hAnsi="华文楷体" w:eastAsia="华文楷体" w:cs="华文楷体"/>
          <w:b/>
          <w:color w:val="FF0000"/>
          <w:kern w:val="0"/>
          <w:sz w:val="32"/>
          <w:szCs w:val="32"/>
          <w:lang w:val="en-US" w:eastAsia="zh-CN" w:bidi="ar-SA"/>
        </w:rPr>
        <w:t>十四、备品备件及长期最优惠供货价格</w:t>
      </w:r>
      <w:bookmarkEnd w:id="48"/>
      <w:bookmarkEnd w:id="49"/>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0" w:name="_Toc31044"/>
      <w:bookmarkStart w:id="51" w:name="_Toc14865"/>
      <w:r>
        <w:rPr>
          <w:rFonts w:hint="eastAsia" w:ascii="华文楷体" w:hAnsi="华文楷体" w:eastAsia="华文楷体" w:cs="华文楷体"/>
          <w:b/>
          <w:color w:val="FF0000"/>
          <w:kern w:val="0"/>
          <w:sz w:val="32"/>
          <w:szCs w:val="32"/>
          <w:lang w:val="en-US" w:eastAsia="zh-CN" w:bidi="ar-SA"/>
        </w:rPr>
        <w:t>十五、响应人认为有必要提供的其他文件</w:t>
      </w:r>
      <w:bookmarkEnd w:id="50"/>
      <w:bookmarkEnd w:id="51"/>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十六：二次报价承诺书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pPr>
        <w:pageBreakBefore w:val="0"/>
        <w:widowControl w:val="0"/>
        <w:topLinePunct w:val="0"/>
        <w:bidi w:val="0"/>
        <w:snapToGrid/>
        <w:spacing w:line="240" w:lineRule="auto"/>
        <w:outlineLvl w:val="0"/>
        <w:rPr>
          <w:rFonts w:hint="eastAsia" w:ascii="华文楷体" w:hAnsi="华文楷体" w:eastAsia="华文楷体" w:cs="华文楷体"/>
          <w:b/>
          <w:bCs/>
          <w:sz w:val="28"/>
          <w:szCs w:val="28"/>
          <w:u w:val="single"/>
          <w:lang w:eastAsia="zh-CN"/>
        </w:rPr>
      </w:pPr>
      <w:bookmarkStart w:id="52" w:name="_Toc26533"/>
      <w:bookmarkStart w:id="53" w:name="_Toc7590"/>
      <w:bookmarkStart w:id="54" w:name="_Toc23910"/>
      <w:bookmarkStart w:id="55" w:name="_Toc19048"/>
      <w:bookmarkStart w:id="56" w:name="_Toc25364"/>
      <w:bookmarkStart w:id="57" w:name="_Toc5152"/>
      <w:r>
        <w:rPr>
          <w:rFonts w:hint="eastAsia" w:ascii="华文楷体" w:hAnsi="华文楷体" w:eastAsia="华文楷体" w:cs="华文楷体"/>
          <w:b/>
          <w:bCs/>
          <w:sz w:val="28"/>
          <w:szCs w:val="28"/>
        </w:rPr>
        <w:t>致：</w:t>
      </w:r>
      <w:bookmarkEnd w:id="52"/>
      <w:bookmarkEnd w:id="53"/>
      <w:r>
        <w:rPr>
          <w:rFonts w:hint="eastAsia" w:ascii="华文楷体" w:hAnsi="华文楷体" w:eastAsia="华文楷体" w:cs="华文楷体"/>
          <w:b/>
          <w:bCs/>
          <w:sz w:val="28"/>
          <w:szCs w:val="28"/>
          <w:u w:val="single"/>
          <w:lang w:eastAsia="zh-CN"/>
        </w:rPr>
        <w:t>安宁市第一人民医院</w:t>
      </w:r>
      <w:bookmarkEnd w:id="54"/>
      <w:bookmarkEnd w:id="55"/>
      <w:bookmarkEnd w:id="56"/>
      <w:bookmarkEnd w:id="57"/>
    </w:p>
    <w:p>
      <w:pPr>
        <w:pStyle w:val="8"/>
        <w:rPr>
          <w:rFonts w:hint="eastAsia" w:ascii="华文楷体" w:hAnsi="华文楷体" w:eastAsia="华文楷体" w:cs="华文楷体"/>
          <w:sz w:val="28"/>
          <w:szCs w:val="28"/>
        </w:rPr>
      </w:pPr>
      <w:r>
        <w:rPr>
          <w:rFonts w:hint="eastAsia" w:ascii="华文楷体" w:hAnsi="华文楷体" w:eastAsia="华文楷体" w:cs="华文楷体"/>
          <w:sz w:val="24"/>
          <w:szCs w:val="24"/>
        </w:rPr>
        <w:t>根据</w:t>
      </w:r>
      <w:r>
        <w:rPr>
          <w:rFonts w:hint="eastAsia" w:ascii="华文楷体" w:hAnsi="华文楷体" w:eastAsia="华文楷体" w:cs="华文楷体"/>
          <w:sz w:val="24"/>
          <w:szCs w:val="24"/>
          <w:lang w:eastAsia="zh-CN"/>
        </w:rPr>
        <w:t>贵</w:t>
      </w:r>
      <w:r>
        <w:rPr>
          <w:rFonts w:hint="eastAsia" w:ascii="华文楷体" w:hAnsi="华文楷体" w:eastAsia="华文楷体" w:cs="华文楷体"/>
          <w:sz w:val="24"/>
          <w:szCs w:val="24"/>
        </w:rPr>
        <w:t>方</w:t>
      </w:r>
      <w:r>
        <w:rPr>
          <w:rFonts w:hint="eastAsia" w:ascii="华文楷体" w:hAnsi="华文楷体" w:eastAsia="华文楷体" w:cs="华文楷体"/>
          <w:b w:val="0"/>
          <w:bCs w:val="0"/>
          <w:sz w:val="22"/>
          <w:szCs w:val="22"/>
          <w:u w:val="single"/>
          <w:lang w:val="en-US" w:eastAsia="zh-CN"/>
        </w:rPr>
        <w:t>安宁市第一人民医院一次性使用吸引活检针等医用耗材采购项目</w:t>
      </w:r>
      <w:r>
        <w:rPr>
          <w:rFonts w:hint="eastAsia" w:ascii="华文楷体" w:hAnsi="华文楷体" w:eastAsia="华文楷体" w:cs="华文楷体"/>
          <w:sz w:val="24"/>
          <w:szCs w:val="24"/>
          <w:lang w:eastAsia="zh-CN"/>
        </w:rPr>
        <w:t>采购需求</w:t>
      </w:r>
      <w:r>
        <w:rPr>
          <w:rFonts w:hint="eastAsia" w:ascii="华文楷体" w:hAnsi="华文楷体" w:eastAsia="华文楷体" w:cs="华文楷体"/>
          <w:sz w:val="24"/>
          <w:szCs w:val="24"/>
        </w:rPr>
        <w:t>，我方愿按</w:t>
      </w:r>
      <w:r>
        <w:rPr>
          <w:rFonts w:hint="eastAsia" w:ascii="华文楷体" w:hAnsi="华文楷体" w:eastAsia="华文楷体" w:cs="华文楷体"/>
          <w:sz w:val="24"/>
          <w:szCs w:val="24"/>
          <w:lang w:eastAsia="zh-CN"/>
        </w:rPr>
        <w:t>以下报价作为</w:t>
      </w:r>
      <w:r>
        <w:rPr>
          <w:rFonts w:hint="eastAsia" w:ascii="华文楷体" w:hAnsi="华文楷体" w:eastAsia="华文楷体" w:cs="华文楷体"/>
          <w:sz w:val="24"/>
          <w:szCs w:val="24"/>
        </w:rPr>
        <w:t>最终</w:t>
      </w:r>
      <w:r>
        <w:rPr>
          <w:rFonts w:hint="eastAsia" w:ascii="华文楷体" w:hAnsi="华文楷体" w:eastAsia="华文楷体" w:cs="华文楷体"/>
          <w:sz w:val="24"/>
          <w:szCs w:val="24"/>
          <w:lang w:eastAsia="zh-CN"/>
        </w:rPr>
        <w:t>谈判</w:t>
      </w:r>
      <w:r>
        <w:rPr>
          <w:rFonts w:hint="eastAsia" w:ascii="华文楷体" w:hAnsi="华文楷体" w:eastAsia="华文楷体" w:cs="华文楷体"/>
          <w:sz w:val="24"/>
          <w:szCs w:val="24"/>
        </w:rPr>
        <w:t>报价</w:t>
      </w:r>
      <w:r>
        <w:rPr>
          <w:rFonts w:hint="eastAsia" w:ascii="华文楷体" w:hAnsi="华文楷体" w:eastAsia="华文楷体" w:cs="华文楷体"/>
          <w:sz w:val="24"/>
          <w:szCs w:val="24"/>
          <w:lang w:eastAsia="zh-CN"/>
        </w:rPr>
        <w:t>，</w:t>
      </w:r>
      <w:r>
        <w:rPr>
          <w:rFonts w:hint="eastAsia" w:ascii="华文楷体" w:hAnsi="华文楷体" w:eastAsia="华文楷体" w:cs="华文楷体"/>
          <w:sz w:val="24"/>
          <w:szCs w:val="24"/>
        </w:rPr>
        <w:t>承担相应的服务工作。</w:t>
      </w:r>
    </w:p>
    <w:tbl>
      <w:tblPr>
        <w:tblStyle w:val="17"/>
        <w:tblpPr w:leftFromText="180" w:rightFromText="180" w:vertAnchor="text" w:horzAnchor="page" w:tblpX="878" w:tblpY="195"/>
        <w:tblOverlap w:val="never"/>
        <w:tblW w:w="153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1"/>
        <w:gridCol w:w="1147"/>
        <w:gridCol w:w="1602"/>
        <w:gridCol w:w="729"/>
        <w:gridCol w:w="1731"/>
        <w:gridCol w:w="2175"/>
        <w:gridCol w:w="1515"/>
        <w:gridCol w:w="1440"/>
        <w:gridCol w:w="690"/>
        <w:gridCol w:w="1065"/>
        <w:gridCol w:w="1110"/>
        <w:gridCol w:w="1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147"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02"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72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是否挂网采购</w:t>
            </w: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最终投标单价（元）</w:t>
            </w: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2</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3</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4</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5</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6</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7</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280" w:lineRule="exact"/>
              <w:jc w:val="center"/>
              <w:rPr>
                <w:rFonts w:hint="eastAsia" w:ascii="华文楷体" w:hAnsi="华文楷体" w:eastAsia="华文楷体" w:cs="华文楷体"/>
                <w:b/>
                <w:bCs/>
                <w:sz w:val="21"/>
                <w:szCs w:val="21"/>
              </w:rPr>
            </w:pPr>
          </w:p>
          <w:p>
            <w:pPr>
              <w:spacing w:line="280" w:lineRule="exact"/>
              <w:jc w:val="center"/>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8</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9</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10</w:t>
            </w:r>
          </w:p>
        </w:tc>
        <w:tc>
          <w:tcPr>
            <w:tcW w:w="1147"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0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72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731"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21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51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69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06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2615" w:type="dxa"/>
            <w:gridSpan w:val="10"/>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投标产品最终报价</w:t>
            </w:r>
            <w:bookmarkStart w:id="58" w:name="_GoBack"/>
            <w:bookmarkEnd w:id="58"/>
            <w:r>
              <w:rPr>
                <w:rFonts w:hint="eastAsia" w:ascii="华文楷体" w:hAnsi="华文楷体" w:eastAsia="华文楷体" w:cs="华文楷体"/>
                <w:sz w:val="24"/>
                <w:lang w:eastAsia="zh-CN"/>
              </w:rPr>
              <w:t>单价汇总金额合计</w:t>
            </w:r>
          </w:p>
        </w:tc>
        <w:tc>
          <w:tcPr>
            <w:tcW w:w="111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64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5374" w:type="dxa"/>
            <w:gridSpan w:val="12"/>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r>
              <w:rPr>
                <w:rFonts w:hint="eastAsia" w:ascii="华文楷体" w:hAnsi="华文楷体" w:eastAsia="华文楷体" w:cs="华文楷体"/>
                <w:sz w:val="24"/>
                <w:szCs w:val="24"/>
              </w:rPr>
              <w:t>其他补充说明（或</w:t>
            </w:r>
            <w:r>
              <w:rPr>
                <w:rFonts w:hint="eastAsia" w:ascii="华文楷体" w:hAnsi="华文楷体" w:eastAsia="华文楷体" w:cs="华文楷体"/>
                <w:spacing w:val="-6"/>
                <w:sz w:val="24"/>
                <w:szCs w:val="24"/>
              </w:rPr>
              <w:t>其他优惠条件）</w:t>
            </w:r>
            <w:r>
              <w:rPr>
                <w:rFonts w:hint="eastAsia" w:ascii="华文楷体" w:hAnsi="华文楷体" w:eastAsia="华文楷体" w:cs="华文楷体"/>
                <w:sz w:val="24"/>
                <w:szCs w:val="24"/>
              </w:rPr>
              <w:t>（若有）：</w:t>
            </w:r>
          </w:p>
        </w:tc>
      </w:tr>
    </w:tbl>
    <w:p>
      <w:pPr>
        <w:spacing w:line="360" w:lineRule="auto"/>
        <w:ind w:firstLine="2880" w:firstLineChars="1200"/>
        <w:jc w:val="right"/>
        <w:rPr>
          <w:rFonts w:hint="eastAsia" w:ascii="华文楷体" w:hAnsi="华文楷体" w:eastAsia="华文楷体" w:cs="华文楷体"/>
          <w:sz w:val="24"/>
          <w:szCs w:val="24"/>
          <w:lang w:eastAsia="zh-CN"/>
        </w:rPr>
      </w:pPr>
    </w:p>
    <w:p>
      <w:pPr>
        <w:spacing w:line="360" w:lineRule="auto"/>
        <w:ind w:firstLine="2880" w:firstLineChars="1200"/>
        <w:jc w:val="right"/>
        <w:rPr>
          <w:rFonts w:hint="eastAsia" w:ascii="华文楷体" w:hAnsi="华文楷体" w:eastAsia="华文楷体" w:cs="华文楷体"/>
          <w:sz w:val="24"/>
          <w:szCs w:val="24"/>
          <w:lang w:eastAsia="zh-CN"/>
        </w:rPr>
      </w:pPr>
    </w:p>
    <w:p>
      <w:pPr>
        <w:spacing w:line="360" w:lineRule="auto"/>
        <w:ind w:firstLine="2880" w:firstLineChars="1200"/>
        <w:jc w:val="right"/>
        <w:rPr>
          <w:rFonts w:hint="eastAsia" w:ascii="华文楷体" w:hAnsi="华文楷体" w:eastAsia="华文楷体" w:cs="华文楷体"/>
          <w:sz w:val="24"/>
          <w:szCs w:val="24"/>
          <w:lang w:eastAsia="zh-CN"/>
        </w:rPr>
      </w:pPr>
    </w:p>
    <w:p>
      <w:pPr>
        <w:spacing w:line="360" w:lineRule="auto"/>
        <w:ind w:firstLine="2880" w:firstLineChars="1200"/>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pPr>
        <w:spacing w:line="360" w:lineRule="auto"/>
        <w:ind w:firstLine="2880" w:firstLineChars="1200"/>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pPr>
        <w:pageBreakBefore w:val="0"/>
        <w:widowControl w:val="0"/>
        <w:topLinePunct w:val="0"/>
        <w:bidi w:val="0"/>
        <w:snapToGrid/>
        <w:spacing w:line="240" w:lineRule="auto"/>
        <w:ind w:left="360"/>
        <w:rPr>
          <w:rFonts w:hint="eastAsia" w:ascii="华文楷体" w:hAnsi="华文楷体" w:eastAsia="华文楷体" w:cs="华文楷体"/>
          <w:bCs/>
          <w:color w:val="FF0000"/>
          <w:sz w:val="30"/>
          <w:szCs w:val="30"/>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p>
      <w:pPr>
        <w:pStyle w:val="8"/>
        <w:pageBreakBefore w:val="0"/>
        <w:topLinePunct w:val="0"/>
        <w:bidi w:val="0"/>
        <w:snapToGrid/>
        <w:spacing w:line="240" w:lineRule="auto"/>
        <w:rPr>
          <w:rFonts w:hint="default" w:ascii="华文楷体" w:hAnsi="华文楷体" w:eastAsia="华文楷体" w:cs="华文楷体"/>
          <w:b w:val="0"/>
          <w:bCs w:val="0"/>
          <w:kern w:val="2"/>
          <w:sz w:val="24"/>
          <w:szCs w:val="24"/>
          <w:u w:val="none"/>
          <w:lang w:val="en-US" w:eastAsia="zh-CN" w:bidi="ar-SA"/>
        </w:rPr>
      </w:pP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53CE09C0"/>
    <w:multiLevelType w:val="singleLevel"/>
    <w:tmpl w:val="53CE09C0"/>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1475D04"/>
    <w:rsid w:val="01F52620"/>
    <w:rsid w:val="02962EDE"/>
    <w:rsid w:val="03503D6C"/>
    <w:rsid w:val="04322EB9"/>
    <w:rsid w:val="04347B65"/>
    <w:rsid w:val="061D614D"/>
    <w:rsid w:val="07FD6DF7"/>
    <w:rsid w:val="09670477"/>
    <w:rsid w:val="0AD83203"/>
    <w:rsid w:val="0AF15004"/>
    <w:rsid w:val="0BF75073"/>
    <w:rsid w:val="0D1A7E23"/>
    <w:rsid w:val="0E543FA7"/>
    <w:rsid w:val="0E6F197A"/>
    <w:rsid w:val="0F1E4AAF"/>
    <w:rsid w:val="1004704F"/>
    <w:rsid w:val="10762BDF"/>
    <w:rsid w:val="122009AF"/>
    <w:rsid w:val="12704669"/>
    <w:rsid w:val="1290609D"/>
    <w:rsid w:val="12B44329"/>
    <w:rsid w:val="12F13861"/>
    <w:rsid w:val="143A4F2F"/>
    <w:rsid w:val="144F2FB5"/>
    <w:rsid w:val="1513659E"/>
    <w:rsid w:val="155E1FBF"/>
    <w:rsid w:val="17391B01"/>
    <w:rsid w:val="188B28E3"/>
    <w:rsid w:val="1A5225DD"/>
    <w:rsid w:val="1A5861A9"/>
    <w:rsid w:val="1B932335"/>
    <w:rsid w:val="1BDD3C44"/>
    <w:rsid w:val="1C292AE4"/>
    <w:rsid w:val="1C5D582C"/>
    <w:rsid w:val="1DE27252"/>
    <w:rsid w:val="21750BB9"/>
    <w:rsid w:val="22210E0A"/>
    <w:rsid w:val="244E37D6"/>
    <w:rsid w:val="24E75EC4"/>
    <w:rsid w:val="24F20F0E"/>
    <w:rsid w:val="25794F64"/>
    <w:rsid w:val="26C708A4"/>
    <w:rsid w:val="26E2013A"/>
    <w:rsid w:val="278C672D"/>
    <w:rsid w:val="280A2CD0"/>
    <w:rsid w:val="281B1F07"/>
    <w:rsid w:val="281D224A"/>
    <w:rsid w:val="29374396"/>
    <w:rsid w:val="2AA23D90"/>
    <w:rsid w:val="2AEB6BB7"/>
    <w:rsid w:val="2B63629F"/>
    <w:rsid w:val="2BC65440"/>
    <w:rsid w:val="2CB471D5"/>
    <w:rsid w:val="2E3F51C4"/>
    <w:rsid w:val="2EFC7E35"/>
    <w:rsid w:val="2F6E0835"/>
    <w:rsid w:val="313A6169"/>
    <w:rsid w:val="321E478D"/>
    <w:rsid w:val="32425718"/>
    <w:rsid w:val="329810D4"/>
    <w:rsid w:val="33C90985"/>
    <w:rsid w:val="345873FE"/>
    <w:rsid w:val="35601B5C"/>
    <w:rsid w:val="35C247F2"/>
    <w:rsid w:val="36A4329F"/>
    <w:rsid w:val="37565737"/>
    <w:rsid w:val="38410DFC"/>
    <w:rsid w:val="38766AAA"/>
    <w:rsid w:val="38F00C52"/>
    <w:rsid w:val="394E5ABB"/>
    <w:rsid w:val="3A3A3D05"/>
    <w:rsid w:val="3B30289A"/>
    <w:rsid w:val="3B7D557D"/>
    <w:rsid w:val="3C2F0E1D"/>
    <w:rsid w:val="3D114B03"/>
    <w:rsid w:val="3DF5379A"/>
    <w:rsid w:val="3E0C3B84"/>
    <w:rsid w:val="3E896745"/>
    <w:rsid w:val="3ECC77BE"/>
    <w:rsid w:val="3F4F5483"/>
    <w:rsid w:val="40296E63"/>
    <w:rsid w:val="402A0309"/>
    <w:rsid w:val="41106504"/>
    <w:rsid w:val="41953229"/>
    <w:rsid w:val="422034E7"/>
    <w:rsid w:val="426F4017"/>
    <w:rsid w:val="438D13C5"/>
    <w:rsid w:val="44241CD7"/>
    <w:rsid w:val="44676AFA"/>
    <w:rsid w:val="446F6C9C"/>
    <w:rsid w:val="44B66409"/>
    <w:rsid w:val="45680BAE"/>
    <w:rsid w:val="457277D5"/>
    <w:rsid w:val="47F47107"/>
    <w:rsid w:val="48EC5ABB"/>
    <w:rsid w:val="49203136"/>
    <w:rsid w:val="49FB2F07"/>
    <w:rsid w:val="4A5A3051"/>
    <w:rsid w:val="4C3D15ED"/>
    <w:rsid w:val="4CC41C4C"/>
    <w:rsid w:val="4DF84F0A"/>
    <w:rsid w:val="4DFA0CB0"/>
    <w:rsid w:val="4DFE254E"/>
    <w:rsid w:val="4E2E66ED"/>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FE3FD3"/>
    <w:rsid w:val="599F73C0"/>
    <w:rsid w:val="59A94439"/>
    <w:rsid w:val="5A643739"/>
    <w:rsid w:val="5A8738CB"/>
    <w:rsid w:val="5AEE04A2"/>
    <w:rsid w:val="5AF2343A"/>
    <w:rsid w:val="5BCC36DC"/>
    <w:rsid w:val="5D47454B"/>
    <w:rsid w:val="5D8E4C63"/>
    <w:rsid w:val="5E4D2736"/>
    <w:rsid w:val="5EFC4888"/>
    <w:rsid w:val="5F4E3341"/>
    <w:rsid w:val="60250735"/>
    <w:rsid w:val="607C7F1A"/>
    <w:rsid w:val="60F905B4"/>
    <w:rsid w:val="612754C0"/>
    <w:rsid w:val="61503641"/>
    <w:rsid w:val="6231187C"/>
    <w:rsid w:val="62D97D14"/>
    <w:rsid w:val="62DC4D1B"/>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B480E55"/>
    <w:rsid w:val="6B783ACA"/>
    <w:rsid w:val="6BE321F3"/>
    <w:rsid w:val="6D0A6409"/>
    <w:rsid w:val="6D413DAD"/>
    <w:rsid w:val="6D867D65"/>
    <w:rsid w:val="6E5770AB"/>
    <w:rsid w:val="6F6F593A"/>
    <w:rsid w:val="7064403B"/>
    <w:rsid w:val="707E5225"/>
    <w:rsid w:val="71615B93"/>
    <w:rsid w:val="727E1BD2"/>
    <w:rsid w:val="739A6307"/>
    <w:rsid w:val="73F731C7"/>
    <w:rsid w:val="73FF59A6"/>
    <w:rsid w:val="74203FD3"/>
    <w:rsid w:val="745B1903"/>
    <w:rsid w:val="761A0506"/>
    <w:rsid w:val="77F2017E"/>
    <w:rsid w:val="786814A1"/>
    <w:rsid w:val="7899684C"/>
    <w:rsid w:val="7B870E80"/>
    <w:rsid w:val="7B955A8D"/>
    <w:rsid w:val="7BB353EB"/>
    <w:rsid w:val="7CCD6BFD"/>
    <w:rsid w:val="7D4D49B8"/>
    <w:rsid w:val="7EE64A8C"/>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8">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9">
    <w:name w:val="page number"/>
    <w:basedOn w:val="18"/>
    <w:autoRedefine/>
    <w:qFormat/>
    <w:uiPriority w:val="0"/>
  </w:style>
  <w:style w:type="paragraph" w:customStyle="1" w:styleId="20">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1">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2">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3">
    <w:name w:val="style4"/>
    <w:basedOn w:val="1"/>
    <w:next w:val="24"/>
    <w:autoRedefine/>
    <w:qFormat/>
    <w:uiPriority w:val="0"/>
    <w:pPr>
      <w:widowControl/>
      <w:spacing w:before="280" w:after="280"/>
    </w:pPr>
    <w:rPr>
      <w:rFonts w:ascii="宋体" w:eastAsia="宋体"/>
      <w:sz w:val="18"/>
    </w:rPr>
  </w:style>
  <w:style w:type="paragraph" w:customStyle="1" w:styleId="24">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5">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2024-03-05T10:24:26Z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FD4CC743FB6F4915B7160933D35F830B</vt:lpwstr>
  </property>
</Properties>
</file>