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安宁市第一人民医院（连然院区）儿科输液大厅网络改造购置项目采购需求及技术参数</w:t>
      </w:r>
    </w:p>
    <w:tbl>
      <w:tblPr>
        <w:tblStyle w:val="11"/>
        <w:tblW w:w="1008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431"/>
        <w:gridCol w:w="4839"/>
        <w:gridCol w:w="889"/>
        <w:gridCol w:w="1001"/>
        <w:gridCol w:w="124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tblHeader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设备名称</w:t>
            </w:r>
          </w:p>
        </w:tc>
        <w:tc>
          <w:tcPr>
            <w:tcW w:w="4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主要技术参数要求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DDEBF7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机柜</w:t>
            </w:r>
          </w:p>
        </w:tc>
        <w:tc>
          <w:tcPr>
            <w:tcW w:w="4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外形尺寸：机柜尺寸为600×600×2000（单位：mm，宽×深×高），容量≥42U，外形方正不歪斜，整体防护等级不低于IP20。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机柜表面颜色为黑色（色号为RAL9003、RAL9004或RAL9005），喷塑厚度不少于60-80µm，机柜塑粉耐中性盐雾性能的测定，提供第三方权威机构检验报告复印件。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机柜板材采用高强度优质碳素冷轧钢板或镀锌板，内立柱等主要称重部件板材厚度不低于2.0mm，主框架和侧安装梁等的板材厚度不低于1.2mm。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机柜内部4根方孔条，用于安装设备和固定层板，方孔条有清晰U数标识，方孔条侧面有安装孔。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机柜静态承载能力达到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≥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00kg，提供同系列产品的第三方权威机构检验报告复印件。</w:t>
            </w:r>
          </w:p>
          <w:p>
            <w:pPr>
              <w:spacing w:line="240" w:lineRule="auto"/>
              <w:jc w:val="left"/>
              <w:rPr>
                <w:rFonts w:hint="default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机柜前门和后门均为网孔门，前后门开启角度不低于110°。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六类非屏蔽网线</w:t>
            </w:r>
          </w:p>
        </w:tc>
        <w:tc>
          <w:tcPr>
            <w:tcW w:w="4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线缆本体上需印有厂商信息及YD/T1019标准中4.5产品标记中所要求的型式代号、线对规格代号及标准代号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标准：YD/T1019，IEC60754-2（护套），IEC61034-2，IEC60332-1-2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通过标准最高传输频率250MHz测试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单根导体直流电阻：≤9.5Ω/100m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 xml:space="preserve">标称线对数：4，导体标称直径：0.57mm，导体名称：软圆铜线，绝缘：HDPE 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护套材料：LSZH，护套外径：6.3±0.3mm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包装方式：305米/易拉箱，2易拉箱/外箱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安装温度：不低于0℃，工作温度：-20℃～+60℃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6类非屏蔽信道通过第三方通信/供电一体化连接方案性能评测（90W/1000Mbit/s/）并提供证书</w:t>
            </w:r>
          </w:p>
          <w:p>
            <w:pPr>
              <w:spacing w:line="240" w:lineRule="auto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产品符合TLC认证并提供证书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产品传输性能符合5米短信道（二节点），9米短信道（三节点），14米短信道（四节点）,100米信道（六节点）和永久链路（三节点）并提供具有CMA及CNAS标记的第三方检验报告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双口面板</w:t>
            </w:r>
          </w:p>
        </w:tc>
        <w:tc>
          <w:tcPr>
            <w:tcW w:w="4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信息插座与面板采用90度安装方式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组合式结构，前后双层面板设计，外形美观，避免固定螺丝孔外露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网络端口带弹簧式自动回弹防尘门设计，防止灰尘等异物侵入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带有标识纸和标识盖，方便维护和使用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面板尺寸：高度:86×宽度:86mm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颜色：白色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</w:rPr>
              <w:t>材料：ABS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六类非屏蔽模块</w:t>
            </w:r>
          </w:p>
        </w:tc>
        <w:tc>
          <w:tcPr>
            <w:tcW w:w="4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保持最小绞距的自动分卡线结构，分线防脱落结构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标准：YD/T 926.3，ISO/IEC 11801:2008；ANSI/TIA-568-C.2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阻燃级别：V-0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IDC：磷青铜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金针：磷青铜表面镀金，无焊锡植针技术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防尘盖：透明PC材料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插头与插座插合次数：≥1000次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导线端接次数：≥250次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打线方式：T568A/T568B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IDC与金针方向：180度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卡接导体规格：单股、0.5mm～0.65mm、24AWG~22AWG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最高传输频率：250MHz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额定电流：0.75A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工作温度：-10℃～+60℃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24口配线架</w:t>
            </w:r>
          </w:p>
        </w:tc>
        <w:tc>
          <w:tcPr>
            <w:tcW w:w="4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标准19英寸机架式安装，模块化设计，高度：1U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后端自带线缆管理单元，采用双爪式免工具设计，便于安装和拆卸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标准：YD/T 926.3，ISO/IEC 11801，ANSI/TIA - 568-C.2 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线缆管理：自带后部线缆管理单元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标识管理：完善清晰的标识系统，让施工、维护、管理更方便、快捷，端口带序号标识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IDC：磷青铜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金针：磷青铜表面镀金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线缆保护盖：PC 材料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进线方式：180°进线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卡接导体规格：单股、0.5mm～0.65mm、24AWG~22AWG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打线方式：T568A/T568B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插头与插座插合次数：≥1000次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导线端接次数：≥250次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最高传输频率：250MHz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工作温度：-10℃～+60℃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left"/>
              <w:rPr>
                <w:rFonts w:hint="eastAsia"/>
                <w:lang w:val="en-US" w:eastAsia="zh-CN"/>
              </w:rPr>
            </w:pPr>
          </w:p>
          <w:p>
            <w:pPr>
              <w:pStyle w:val="2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其余延用原有配线架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桥架</w:t>
            </w:r>
          </w:p>
        </w:tc>
        <w:tc>
          <w:tcPr>
            <w:tcW w:w="4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C200*100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96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9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48口交换机</w:t>
            </w:r>
          </w:p>
        </w:tc>
        <w:tc>
          <w:tcPr>
            <w:tcW w:w="4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1、交换容量 ≥430Gbps/4.30Tbps，转发性能 ≥142Mpps/165Mpps；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2、配置千兆电接口数量≥48个，万兆SFP+光口≥5个，实配千兆单模模块≥2块；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3、MAC地址表≥32K，IPv4路由表容量≥4K，ARP≥4K；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4、支持≥9台物理设备虚拟化技术，支持完善的堆叠分裂检测机制，堆叠分裂后能自动完成MAC和IP地址的重配置，无需手动干预；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5、支持IPv4/IPv6静态路由，支持RIP/RIPng ，支持OSPFv2/ v3；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6、安全特性 支持802.1x认证，支持集中式MAC地址认证；支持IP+MAC+PORT的绑定；支持DHCP Snooping，防止欺骗的DHCP服务器；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7、支持业务端口防雷能力≥10KV，提供官网截图证明；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8、实现CPU保护功能，能限制非法报文对CPU的攻击，保护交换机在各种环境下稳定工作，提供官网截图并加盖公章；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9、支持auto-power-down（端口自动节能），支持EEE节能功能，提供官网截图证明； 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10、提供工信部入网许可证，第三方检测报告，提供生产厂商CMMI5级或者以上认证。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含2个千兆光模块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3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24口交换机</w:t>
            </w:r>
          </w:p>
        </w:tc>
        <w:tc>
          <w:tcPr>
            <w:tcW w:w="4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仿宋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、交换容量 ≥430Gbps/4.30Tbps，转发性能 ≥105Mpps/125Mpps；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2、配置千兆电接口数量≥24个，万兆SFP+光口≥4个，实配千兆单模模块≥2块；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3、MAC地址表≥32K，IPv4路由表容量≥4K，ARP≥4K；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4、支持≥9台物理设备虚拟化技术，支持完善的堆叠分裂检测机制，堆叠分裂后能自动完成MAC和IP地址的重配置，无需手动干预；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5、支持IPv4/IPv6静态路由，支持RIP/RIPng ，支持OSPFv2/ v3；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6、安全特性 支持802.1x认证，支持集中式MAC地址认证；支持IP+MAC+PORT的绑定；支持DHCP Snooping，防止欺骗的DHCP服务器；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7、支持业务端口防雷能力≥10KV，提供官网截图证明；</w:t>
            </w:r>
          </w:p>
          <w:p>
            <w:pPr>
              <w:jc w:val="left"/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8、实现CPU保护功能，能限制非法报文对CPU的攻击，保护交换机在各种环境下稳定工作，提供官网截图并加盖公章；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 xml:space="preserve">9、支持auto-power-down（端口自动节能），支持EEE节能功能，提供官网截图证明； </w:t>
            </w:r>
          </w:p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10、提供工信部入网许可证，第三方检测报告，提供生产厂商CMMI5级或者以上认证。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台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含2个千兆光模块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暗敷电工管UPVC25</w:t>
            </w:r>
          </w:p>
        </w:tc>
        <w:tc>
          <w:tcPr>
            <w:tcW w:w="4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UPVC25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米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3500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收费室网络及机柜迁移</w:t>
            </w:r>
          </w:p>
        </w:tc>
        <w:tc>
          <w:tcPr>
            <w:tcW w:w="4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拆除旧收费室网点，部分网点迁移至新收费室，拆除旧收费室光纤、机柜、配线架、桥架、交换机等设备迁移至新收费室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4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项目集成费</w:t>
            </w:r>
          </w:p>
        </w:tc>
        <w:tc>
          <w:tcPr>
            <w:tcW w:w="48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交换机调试、网络端口调试、配合各科室网络调整测试等</w:t>
            </w:r>
          </w:p>
        </w:tc>
        <w:tc>
          <w:tcPr>
            <w:tcW w:w="88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</w:t>
            </w:r>
          </w:p>
        </w:tc>
        <w:tc>
          <w:tcPr>
            <w:tcW w:w="10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2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bookmarkEnd w:id="0"/>
    </w:tbl>
    <w:p>
      <w:pPr>
        <w:pStyle w:val="2"/>
        <w:rPr>
          <w:rFonts w:hint="default"/>
          <w:lang w:val="en-US" w:eastAsia="zh-CN"/>
        </w:rPr>
      </w:pPr>
    </w:p>
    <w:p>
      <w:pPr>
        <w:pStyle w:val="3"/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Q1ZTc0NDM1ODQ3ZDBmZjVjZDUzNjlmN2Y4ODAwYWEifQ=="/>
  </w:docVars>
  <w:rsids>
    <w:rsidRoot w:val="30702C2E"/>
    <w:rsid w:val="00EF3696"/>
    <w:rsid w:val="01E5240A"/>
    <w:rsid w:val="02635F52"/>
    <w:rsid w:val="036A59B4"/>
    <w:rsid w:val="05AE5620"/>
    <w:rsid w:val="082C467B"/>
    <w:rsid w:val="0BAB39DA"/>
    <w:rsid w:val="11875983"/>
    <w:rsid w:val="11CB0186"/>
    <w:rsid w:val="1EA02BB8"/>
    <w:rsid w:val="1FE76A67"/>
    <w:rsid w:val="267606B5"/>
    <w:rsid w:val="2BA91B35"/>
    <w:rsid w:val="2CD42AFF"/>
    <w:rsid w:val="2CFF434D"/>
    <w:rsid w:val="304330A8"/>
    <w:rsid w:val="30702C2E"/>
    <w:rsid w:val="347E631A"/>
    <w:rsid w:val="358747FD"/>
    <w:rsid w:val="383311B9"/>
    <w:rsid w:val="3C3F3096"/>
    <w:rsid w:val="3E7F6FAB"/>
    <w:rsid w:val="40680688"/>
    <w:rsid w:val="44D921B8"/>
    <w:rsid w:val="454E18DA"/>
    <w:rsid w:val="486523D3"/>
    <w:rsid w:val="4D1C4BAD"/>
    <w:rsid w:val="513144AF"/>
    <w:rsid w:val="55760C1C"/>
    <w:rsid w:val="55B176C0"/>
    <w:rsid w:val="58232824"/>
    <w:rsid w:val="5BFC410D"/>
    <w:rsid w:val="5C04241F"/>
    <w:rsid w:val="63FC5CEF"/>
    <w:rsid w:val="64020180"/>
    <w:rsid w:val="661C580F"/>
    <w:rsid w:val="6EE430F2"/>
    <w:rsid w:val="6F7431FE"/>
    <w:rsid w:val="71773EEC"/>
    <w:rsid w:val="7480642E"/>
    <w:rsid w:val="782753F7"/>
    <w:rsid w:val="7975472A"/>
    <w:rsid w:val="7C9A36C4"/>
    <w:rsid w:val="7F30745E"/>
    <w:rsid w:val="7F923FF5"/>
    <w:rsid w:val="7FAD5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spacing w:before="120" w:beforeLines="0" w:beforeAutospacing="0" w:after="120" w:afterLines="0" w:afterAutospacing="0" w:line="360" w:lineRule="auto"/>
      <w:outlineLvl w:val="0"/>
    </w:pPr>
    <w:rPr>
      <w:rFonts w:ascii="Times New Roman" w:hAnsi="Times New Roman" w:eastAsia="宋体"/>
      <w:b/>
      <w:kern w:val="44"/>
      <w:sz w:val="30"/>
    </w:rPr>
  </w:style>
  <w:style w:type="paragraph" w:styleId="5">
    <w:name w:val="heading 2"/>
    <w:basedOn w:val="1"/>
    <w:next w:val="1"/>
    <w:semiHidden/>
    <w:unhideWhenUsed/>
    <w:qFormat/>
    <w:uiPriority w:val="0"/>
    <w:pPr>
      <w:keepNext/>
      <w:adjustRightInd w:val="0"/>
      <w:spacing w:before="120" w:line="360" w:lineRule="auto"/>
      <w:textAlignment w:val="baseline"/>
      <w:outlineLvl w:val="1"/>
    </w:pPr>
    <w:rPr>
      <w:rFonts w:ascii="Calibri" w:hAnsi="Calibri" w:eastAsia="黑体" w:cs="Times New Roman"/>
      <w:b/>
      <w:kern w:val="0"/>
      <w:sz w:val="28"/>
      <w:szCs w:val="20"/>
    </w:rPr>
  </w:style>
  <w:style w:type="paragraph" w:styleId="6">
    <w:name w:val="heading 3"/>
    <w:basedOn w:val="1"/>
    <w:next w:val="1"/>
    <w:semiHidden/>
    <w:unhideWhenUsed/>
    <w:qFormat/>
    <w:uiPriority w:val="0"/>
    <w:pPr>
      <w:keepNext/>
      <w:keepLines/>
      <w:spacing w:before="100" w:beforeLines="0" w:beforeAutospacing="0" w:after="100" w:afterLines="0" w:afterAutospacing="0" w:line="360" w:lineRule="auto"/>
      <w:outlineLvl w:val="2"/>
    </w:pPr>
    <w:rPr>
      <w:rFonts w:ascii="Times New Roman" w:hAnsi="Times New Roman" w:eastAsia="宋体"/>
      <w:b/>
      <w:sz w:val="28"/>
    </w:rPr>
  </w:style>
  <w:style w:type="paragraph" w:styleId="7">
    <w:name w:val="heading 4"/>
    <w:basedOn w:val="1"/>
    <w:next w:val="1"/>
    <w:semiHidden/>
    <w:unhideWhenUsed/>
    <w:qFormat/>
    <w:uiPriority w:val="0"/>
    <w:pPr>
      <w:keepNext/>
      <w:keepLines/>
      <w:spacing w:before="40" w:beforeLines="0" w:beforeAutospacing="0" w:after="40" w:afterLines="0" w:afterAutospacing="0" w:line="360" w:lineRule="auto"/>
      <w:outlineLvl w:val="3"/>
    </w:pPr>
    <w:rPr>
      <w:rFonts w:ascii="Arial" w:hAnsi="Arial" w:eastAsia="宋体"/>
      <w:b/>
      <w:sz w:val="28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after="120" w:afterLines="0" w:afterAutospacing="0"/>
    </w:pPr>
  </w:style>
  <w:style w:type="paragraph" w:styleId="3">
    <w:name w:val="Body Text 2"/>
    <w:basedOn w:val="1"/>
    <w:qFormat/>
    <w:uiPriority w:val="0"/>
    <w:rPr>
      <w:rFonts w:ascii="宋体"/>
      <w:sz w:val="13"/>
      <w:szCs w:val="20"/>
    </w:rPr>
  </w:style>
  <w:style w:type="paragraph" w:styleId="8">
    <w:name w:val="toc 1"/>
    <w:basedOn w:val="1"/>
    <w:next w:val="1"/>
    <w:qFormat/>
    <w:uiPriority w:val="0"/>
    <w:pPr>
      <w:spacing w:line="500" w:lineRule="exact"/>
    </w:pPr>
    <w:rPr>
      <w:rFonts w:ascii="Times New Roman" w:hAnsi="Times New Roman" w:eastAsia="宋体"/>
      <w:b/>
    </w:rPr>
  </w:style>
  <w:style w:type="paragraph" w:styleId="9">
    <w:name w:val="toc 2"/>
    <w:basedOn w:val="1"/>
    <w:next w:val="1"/>
    <w:qFormat/>
    <w:uiPriority w:val="0"/>
    <w:pPr>
      <w:spacing w:line="240" w:lineRule="auto"/>
      <w:ind w:left="420" w:leftChars="200"/>
    </w:pPr>
    <w:rPr>
      <w:rFonts w:ascii="Times New Roman" w:hAnsi="Times New Roman" w:eastAsia="宋体"/>
      <w:sz w:val="24"/>
    </w:rPr>
  </w:style>
  <w:style w:type="paragraph" w:styleId="10">
    <w:name w:val="Body Text First Indent"/>
    <w:basedOn w:val="2"/>
    <w:qFormat/>
    <w:uiPriority w:val="0"/>
    <w:pPr>
      <w:ind w:firstLine="420" w:firstLineChars="1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3846</Words>
  <Characters>5196</Characters>
  <Lines>0</Lines>
  <Paragraphs>0</Paragraphs>
  <TotalTime>0</TotalTime>
  <ScaleCrop>false</ScaleCrop>
  <LinksUpToDate>false</LinksUpToDate>
  <CharactersWithSpaces>5237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2023-09-14T01:17:00Z</dcterms:created>
  <dc:creator>乱影随风</dc:creator>
  <cp:lastModifiedBy>木香</cp:lastModifiedBy>
  <dcterms:modified xsi:type="dcterms:W3CDTF">2023-10-12T03:43:04Z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F9002334CEB24D5CA374B3BA3416BCB1_13</vt:lpwstr>
  </property>
</Properties>
</file>